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7EBBD" w14:textId="435F380F" w:rsidR="00983290" w:rsidRPr="00983290" w:rsidRDefault="00983290" w:rsidP="00983290">
      <w:pPr>
        <w:spacing w:after="0" w:line="276" w:lineRule="auto"/>
        <w:ind w:left="2832"/>
        <w:rPr>
          <w:rFonts w:ascii="Arial" w:hAnsi="Arial" w:cs="Arial"/>
          <w:b/>
          <w:sz w:val="20"/>
          <w:szCs w:val="20"/>
        </w:rPr>
      </w:pPr>
      <w:r>
        <w:rPr>
          <w:rFonts w:ascii="Arial" w:hAnsi="Arial" w:cs="Arial"/>
          <w:b/>
          <w:sz w:val="20"/>
          <w:szCs w:val="20"/>
        </w:rPr>
        <w:t xml:space="preserve">    </w:t>
      </w:r>
      <w:r w:rsidR="005B1CEE" w:rsidRPr="00762022">
        <w:rPr>
          <w:rFonts w:ascii="Arial" w:hAnsi="Arial" w:cs="Arial"/>
          <w:b/>
          <w:sz w:val="20"/>
          <w:szCs w:val="20"/>
        </w:rPr>
        <w:t>ESTUDO TÉCNICO PRELIMINAR</w:t>
      </w:r>
    </w:p>
    <w:p w14:paraId="4C044658" w14:textId="5E5414C6" w:rsidR="005F0534" w:rsidRPr="00983290" w:rsidRDefault="00983290" w:rsidP="00983290">
      <w:pPr>
        <w:tabs>
          <w:tab w:val="left" w:pos="6161"/>
        </w:tabs>
        <w:rPr>
          <w:rFonts w:ascii="Arial" w:hAnsi="Arial" w:cs="Arial"/>
          <w:sz w:val="20"/>
          <w:szCs w:val="20"/>
        </w:rPr>
      </w:pPr>
      <w:r>
        <w:rPr>
          <w:rFonts w:ascii="Arial" w:hAnsi="Arial" w:cs="Arial"/>
          <w:sz w:val="20"/>
          <w:szCs w:val="20"/>
        </w:rPr>
        <w:tab/>
      </w:r>
    </w:p>
    <w:tbl>
      <w:tblPr>
        <w:tblStyle w:val="Tabelacomgrade"/>
        <w:tblpPr w:leftFromText="141" w:rightFromText="141" w:vertAnchor="page" w:horzAnchor="margin" w:tblpY="3931"/>
        <w:tblW w:w="9918" w:type="dxa"/>
        <w:tblLook w:val="04A0" w:firstRow="1" w:lastRow="0" w:firstColumn="1" w:lastColumn="0" w:noHBand="0" w:noVBand="1"/>
      </w:tblPr>
      <w:tblGrid>
        <w:gridCol w:w="9918"/>
      </w:tblGrid>
      <w:tr w:rsidR="00E252FA" w:rsidRPr="00762022" w14:paraId="6E8FFF37" w14:textId="77777777" w:rsidTr="005F0534">
        <w:tc>
          <w:tcPr>
            <w:tcW w:w="9918" w:type="dxa"/>
          </w:tcPr>
          <w:p w14:paraId="0E690921" w14:textId="11F349B2" w:rsidR="00E252FA" w:rsidRPr="00762022" w:rsidRDefault="00E252FA" w:rsidP="005F0534">
            <w:pPr>
              <w:spacing w:line="276" w:lineRule="auto"/>
              <w:jc w:val="both"/>
              <w:rPr>
                <w:rFonts w:ascii="Arial" w:hAnsi="Arial" w:cs="Arial"/>
                <w:sz w:val="20"/>
                <w:szCs w:val="20"/>
              </w:rPr>
            </w:pPr>
            <w:r w:rsidRPr="00762022">
              <w:rPr>
                <w:rFonts w:ascii="Arial" w:hAnsi="Arial" w:cs="Arial"/>
                <w:b/>
                <w:sz w:val="20"/>
                <w:szCs w:val="20"/>
              </w:rPr>
              <w:t>Secretaria requisitante:</w:t>
            </w:r>
            <w:r w:rsidR="00F96013" w:rsidRPr="00762022">
              <w:rPr>
                <w:rFonts w:ascii="Arial" w:hAnsi="Arial" w:cs="Arial"/>
                <w:b/>
                <w:sz w:val="20"/>
                <w:szCs w:val="20"/>
              </w:rPr>
              <w:t xml:space="preserve"> </w:t>
            </w:r>
            <w:r w:rsidR="00F96013" w:rsidRPr="00762022">
              <w:rPr>
                <w:rFonts w:ascii="Arial" w:hAnsi="Arial" w:cs="Arial"/>
                <w:sz w:val="20"/>
                <w:szCs w:val="20"/>
              </w:rPr>
              <w:t>Secretaria Municipal de</w:t>
            </w:r>
            <w:r w:rsidR="00D45D6A" w:rsidRPr="00762022">
              <w:rPr>
                <w:rFonts w:ascii="Arial" w:hAnsi="Arial" w:cs="Arial"/>
                <w:sz w:val="20"/>
                <w:szCs w:val="20"/>
              </w:rPr>
              <w:t xml:space="preserve"> </w:t>
            </w:r>
            <w:r w:rsidR="008F7F31">
              <w:rPr>
                <w:rFonts w:ascii="Arial" w:hAnsi="Arial" w:cs="Arial"/>
                <w:sz w:val="20"/>
                <w:szCs w:val="20"/>
              </w:rPr>
              <w:t>Agricultura, Meio Ambiente e Desenvolvimento Econômico</w:t>
            </w:r>
          </w:p>
        </w:tc>
      </w:tr>
      <w:tr w:rsidR="00E252FA" w:rsidRPr="00762022" w14:paraId="78E71318" w14:textId="77777777" w:rsidTr="005F0534">
        <w:tc>
          <w:tcPr>
            <w:tcW w:w="9918" w:type="dxa"/>
          </w:tcPr>
          <w:p w14:paraId="253EE515" w14:textId="1A7F6E8A" w:rsidR="00E252FA" w:rsidRPr="00762022" w:rsidRDefault="00E252FA" w:rsidP="005F0534">
            <w:pPr>
              <w:spacing w:line="276" w:lineRule="auto"/>
              <w:jc w:val="both"/>
              <w:rPr>
                <w:rFonts w:ascii="Arial" w:hAnsi="Arial" w:cs="Arial"/>
                <w:sz w:val="20"/>
                <w:szCs w:val="20"/>
              </w:rPr>
            </w:pPr>
            <w:r w:rsidRPr="00762022">
              <w:rPr>
                <w:rFonts w:ascii="Arial" w:hAnsi="Arial" w:cs="Arial"/>
                <w:b/>
                <w:sz w:val="20"/>
                <w:szCs w:val="20"/>
              </w:rPr>
              <w:t>Servidor(es)</w:t>
            </w:r>
            <w:r w:rsidR="0022321C" w:rsidRPr="00762022">
              <w:rPr>
                <w:rFonts w:ascii="Arial" w:hAnsi="Arial" w:cs="Arial"/>
                <w:b/>
                <w:sz w:val="20"/>
                <w:szCs w:val="20"/>
              </w:rPr>
              <w:t xml:space="preserve"> e/ou </w:t>
            </w:r>
            <w:r w:rsidRPr="00762022">
              <w:rPr>
                <w:rFonts w:ascii="Arial" w:hAnsi="Arial" w:cs="Arial"/>
                <w:b/>
                <w:sz w:val="20"/>
                <w:szCs w:val="20"/>
              </w:rPr>
              <w:t xml:space="preserve">Secretário </w:t>
            </w:r>
            <w:r w:rsidR="0022321C" w:rsidRPr="00762022">
              <w:rPr>
                <w:rFonts w:ascii="Arial" w:hAnsi="Arial" w:cs="Arial"/>
                <w:b/>
                <w:sz w:val="20"/>
                <w:szCs w:val="20"/>
              </w:rPr>
              <w:t>r</w:t>
            </w:r>
            <w:r w:rsidRPr="00762022">
              <w:rPr>
                <w:rFonts w:ascii="Arial" w:hAnsi="Arial" w:cs="Arial"/>
                <w:b/>
                <w:sz w:val="20"/>
                <w:szCs w:val="20"/>
              </w:rPr>
              <w:t>esponsável pela elaboração:</w:t>
            </w:r>
            <w:r w:rsidR="00D45D6A" w:rsidRPr="00762022">
              <w:rPr>
                <w:rFonts w:ascii="Arial" w:hAnsi="Arial" w:cs="Arial"/>
                <w:b/>
                <w:sz w:val="20"/>
                <w:szCs w:val="20"/>
              </w:rPr>
              <w:t xml:space="preserve"> </w:t>
            </w:r>
            <w:r w:rsidR="008F7F31">
              <w:rPr>
                <w:rFonts w:ascii="Arial" w:hAnsi="Arial" w:cs="Arial"/>
                <w:b/>
                <w:sz w:val="20"/>
                <w:szCs w:val="20"/>
              </w:rPr>
              <w:t>Gilnei Dahmer</w:t>
            </w:r>
          </w:p>
        </w:tc>
      </w:tr>
    </w:tbl>
    <w:tbl>
      <w:tblPr>
        <w:tblStyle w:val="Tabelacomgrade"/>
        <w:tblW w:w="9918" w:type="dxa"/>
        <w:tblLook w:val="04A0" w:firstRow="1" w:lastRow="0" w:firstColumn="1" w:lastColumn="0" w:noHBand="0" w:noVBand="1"/>
      </w:tblPr>
      <w:tblGrid>
        <w:gridCol w:w="9918"/>
      </w:tblGrid>
      <w:tr w:rsidR="00E252FA" w:rsidRPr="00762022" w14:paraId="477EDE1C" w14:textId="77777777" w:rsidTr="00032506">
        <w:tc>
          <w:tcPr>
            <w:tcW w:w="9918" w:type="dxa"/>
          </w:tcPr>
          <w:p w14:paraId="248CC56E" w14:textId="18F80425" w:rsidR="00E252FA" w:rsidRPr="00762022" w:rsidRDefault="00E252FA" w:rsidP="00AD31B3">
            <w:pPr>
              <w:spacing w:line="276" w:lineRule="auto"/>
              <w:jc w:val="both"/>
              <w:rPr>
                <w:rFonts w:ascii="Arial" w:hAnsi="Arial" w:cs="Arial"/>
                <w:b/>
                <w:sz w:val="20"/>
                <w:szCs w:val="20"/>
              </w:rPr>
            </w:pPr>
            <w:r w:rsidRPr="00762022">
              <w:rPr>
                <w:rFonts w:ascii="Arial" w:hAnsi="Arial" w:cs="Arial"/>
                <w:b/>
                <w:sz w:val="20"/>
                <w:szCs w:val="20"/>
              </w:rPr>
              <w:t>1 - DESCRIÇÃO DA NECESSIDADE</w:t>
            </w:r>
          </w:p>
        </w:tc>
      </w:tr>
      <w:tr w:rsidR="00E252FA" w:rsidRPr="00762022" w14:paraId="64E82183" w14:textId="77777777" w:rsidTr="005B2418">
        <w:tc>
          <w:tcPr>
            <w:tcW w:w="9918" w:type="dxa"/>
            <w:shd w:val="clear" w:color="auto" w:fill="F2F2F2" w:themeFill="background1" w:themeFillShade="F2"/>
          </w:tcPr>
          <w:p w14:paraId="691BA725" w14:textId="7638375A" w:rsidR="00E252FA" w:rsidRPr="00762022" w:rsidRDefault="00E252FA" w:rsidP="00AD31B3">
            <w:pPr>
              <w:spacing w:line="276" w:lineRule="auto"/>
              <w:jc w:val="both"/>
              <w:rPr>
                <w:rFonts w:ascii="Arial" w:eastAsia="Times New Roman" w:hAnsi="Arial" w:cs="Arial"/>
                <w:b/>
                <w:color w:val="000000"/>
                <w:sz w:val="20"/>
                <w:szCs w:val="20"/>
                <w:lang w:eastAsia="pt-BR"/>
              </w:rPr>
            </w:pPr>
            <w:r w:rsidRPr="00762022">
              <w:rPr>
                <w:rFonts w:ascii="Arial" w:eastAsia="Times New Roman" w:hAnsi="Arial" w:cs="Arial"/>
                <w:b/>
                <w:bCs/>
                <w:color w:val="000000"/>
                <w:sz w:val="20"/>
                <w:szCs w:val="20"/>
                <w:lang w:eastAsia="pt-BR"/>
              </w:rPr>
              <w:t xml:space="preserve">Fundamentação: </w:t>
            </w:r>
            <w:r w:rsidRPr="005B2418">
              <w:rPr>
                <w:rFonts w:ascii="Arial" w:eastAsia="Times New Roman" w:hAnsi="Arial" w:cs="Arial"/>
                <w:color w:val="000000"/>
                <w:sz w:val="20"/>
                <w:szCs w:val="20"/>
                <w:lang w:eastAsia="pt-BR"/>
              </w:rPr>
              <w:t>Descrição da necessidade da contratação, considerado o problema a ser resolvido sob a perspectiva do interesse público (inciso I do § 1° do art. 18 da Lei 14.133/2021);</w:t>
            </w:r>
            <w:r w:rsidRPr="00762022">
              <w:rPr>
                <w:rFonts w:ascii="Arial" w:eastAsia="Times New Roman" w:hAnsi="Arial" w:cs="Arial"/>
                <w:b/>
                <w:color w:val="000000"/>
                <w:sz w:val="20"/>
                <w:szCs w:val="20"/>
                <w:lang w:eastAsia="pt-BR"/>
              </w:rPr>
              <w:t xml:space="preserve"> </w:t>
            </w:r>
          </w:p>
        </w:tc>
      </w:tr>
      <w:tr w:rsidR="00E252FA" w:rsidRPr="00762022" w14:paraId="0509A043" w14:textId="77777777" w:rsidTr="00032506">
        <w:tc>
          <w:tcPr>
            <w:tcW w:w="9918" w:type="dxa"/>
          </w:tcPr>
          <w:p w14:paraId="385A8E15" w14:textId="4A60277D" w:rsidR="00E252FA" w:rsidRPr="000C0560" w:rsidRDefault="000C0560" w:rsidP="000130F8">
            <w:pPr>
              <w:spacing w:line="276" w:lineRule="auto"/>
              <w:jc w:val="both"/>
              <w:rPr>
                <w:rFonts w:ascii="Arial" w:hAnsi="Arial" w:cs="Arial"/>
                <w:sz w:val="20"/>
                <w:szCs w:val="20"/>
              </w:rPr>
            </w:pPr>
            <w:r w:rsidRPr="008F7F31">
              <w:rPr>
                <w:rFonts w:ascii="Arial" w:hAnsi="Arial" w:cs="Arial"/>
                <w:sz w:val="20"/>
                <w:szCs w:val="20"/>
                <w:shd w:val="clear" w:color="auto" w:fill="FFFFFF"/>
              </w:rPr>
              <w:t>A comunidade de Linha Herval no interior do município de Imigrante não possui rede pública de água, dessa forma, as propriedades são abastecidas por redes próprias ou vertentes. Por se tratar de localidade do interior, diversas famílias têm sua renda proveniente da criação de porcos e frangos, as quais demandam grande vazão de água potável, a qual não é suprida em dias de calor intenso, no verão, fazendo com que as demandas não sejam supridas e ocorram perdas e consequentes prejuízos na produção.</w:t>
            </w:r>
          </w:p>
        </w:tc>
      </w:tr>
    </w:tbl>
    <w:p w14:paraId="343F9ABC" w14:textId="0AADBF95" w:rsidR="00E252FA" w:rsidRPr="00762022" w:rsidRDefault="00E252FA" w:rsidP="00AD31B3">
      <w:pPr>
        <w:spacing w:after="0" w:line="276" w:lineRule="auto"/>
        <w:jc w:val="both"/>
        <w:rPr>
          <w:rFonts w:ascii="Arial" w:hAnsi="Arial" w:cs="Arial"/>
          <w:sz w:val="20"/>
          <w:szCs w:val="20"/>
        </w:rPr>
      </w:pPr>
    </w:p>
    <w:tbl>
      <w:tblPr>
        <w:tblStyle w:val="Tabelacomgrade"/>
        <w:tblW w:w="9918" w:type="dxa"/>
        <w:tblLook w:val="04A0" w:firstRow="1" w:lastRow="0" w:firstColumn="1" w:lastColumn="0" w:noHBand="0" w:noVBand="1"/>
      </w:tblPr>
      <w:tblGrid>
        <w:gridCol w:w="9918"/>
      </w:tblGrid>
      <w:tr w:rsidR="00E252FA" w:rsidRPr="00762022" w14:paraId="5E5737E4" w14:textId="77777777" w:rsidTr="00032506">
        <w:tc>
          <w:tcPr>
            <w:tcW w:w="9918" w:type="dxa"/>
          </w:tcPr>
          <w:p w14:paraId="6CADB074" w14:textId="465B7548" w:rsidR="00E252FA" w:rsidRPr="00762022" w:rsidRDefault="00E252FA" w:rsidP="00E252FA">
            <w:pPr>
              <w:shd w:val="clear" w:color="auto" w:fill="FFFFFF"/>
              <w:spacing w:line="276" w:lineRule="auto"/>
              <w:jc w:val="both"/>
              <w:textAlignment w:val="baseline"/>
              <w:rPr>
                <w:rFonts w:ascii="Arial" w:eastAsia="Times New Roman" w:hAnsi="Arial" w:cs="Arial"/>
                <w:b/>
                <w:bCs/>
                <w:color w:val="000000"/>
                <w:sz w:val="20"/>
                <w:szCs w:val="20"/>
                <w:lang w:eastAsia="pt-BR"/>
              </w:rPr>
            </w:pPr>
            <w:r w:rsidRPr="00762022">
              <w:rPr>
                <w:rFonts w:ascii="Arial" w:eastAsia="Times New Roman" w:hAnsi="Arial" w:cs="Arial"/>
                <w:b/>
                <w:bCs/>
                <w:color w:val="000000"/>
                <w:sz w:val="20"/>
                <w:szCs w:val="20"/>
                <w:lang w:eastAsia="pt-BR"/>
              </w:rPr>
              <w:t>2 – PREVISÃO NO PLANO DE CONTRATAÇÕES ANUAL</w:t>
            </w:r>
          </w:p>
        </w:tc>
      </w:tr>
      <w:tr w:rsidR="00E252FA" w:rsidRPr="00762022" w14:paraId="78C4E84D" w14:textId="77777777" w:rsidTr="005B2418">
        <w:tc>
          <w:tcPr>
            <w:tcW w:w="9918" w:type="dxa"/>
            <w:shd w:val="clear" w:color="auto" w:fill="F2F2F2" w:themeFill="background1" w:themeFillShade="F2"/>
          </w:tcPr>
          <w:p w14:paraId="53081971" w14:textId="72DC36DD" w:rsidR="00E252FA" w:rsidRPr="005B2418" w:rsidRDefault="00E252FA" w:rsidP="00E252FA">
            <w:pPr>
              <w:pStyle w:val="Default"/>
              <w:spacing w:line="276" w:lineRule="auto"/>
              <w:jc w:val="both"/>
              <w:rPr>
                <w:rFonts w:ascii="Arial" w:eastAsia="Times New Roman" w:hAnsi="Arial" w:cs="Arial"/>
                <w:sz w:val="20"/>
                <w:szCs w:val="20"/>
                <w:lang w:eastAsia="pt-BR"/>
              </w:rPr>
            </w:pPr>
            <w:r w:rsidRPr="005B2418">
              <w:rPr>
                <w:rFonts w:ascii="Arial" w:eastAsia="Times New Roman" w:hAnsi="Arial" w:cs="Arial"/>
                <w:bCs/>
                <w:sz w:val="20"/>
                <w:szCs w:val="20"/>
                <w:lang w:eastAsia="pt-BR"/>
              </w:rPr>
              <w:t xml:space="preserve">Fundamentação: </w:t>
            </w:r>
            <w:r w:rsidRPr="005B2418">
              <w:rPr>
                <w:rFonts w:ascii="Arial" w:hAnsi="Arial" w:cs="Arial"/>
                <w:sz w:val="20"/>
                <w:szCs w:val="20"/>
              </w:rPr>
              <w:t xml:space="preserve">Demonstração da previsão da contratação no plano de contratações anual, sempre que elaborado, de modo a indicar o seu alinhamento com o planejamento da Administração </w:t>
            </w:r>
            <w:r w:rsidRPr="005B2418">
              <w:rPr>
                <w:rFonts w:ascii="Arial" w:eastAsia="Times New Roman" w:hAnsi="Arial" w:cs="Arial"/>
                <w:sz w:val="20"/>
                <w:szCs w:val="20"/>
                <w:lang w:eastAsia="pt-BR"/>
              </w:rPr>
              <w:t xml:space="preserve">(inciso II do § 1° do art. 18 da Lei 14.133/21); </w:t>
            </w:r>
          </w:p>
        </w:tc>
      </w:tr>
      <w:tr w:rsidR="00E252FA" w:rsidRPr="00762022" w14:paraId="618F97C4" w14:textId="77777777" w:rsidTr="00032506">
        <w:tc>
          <w:tcPr>
            <w:tcW w:w="9918" w:type="dxa"/>
          </w:tcPr>
          <w:p w14:paraId="2E6ABDB3" w14:textId="127205E1" w:rsidR="00E252FA" w:rsidRDefault="008F7F31" w:rsidP="001A7B5F">
            <w:pPr>
              <w:spacing w:line="276" w:lineRule="auto"/>
              <w:jc w:val="both"/>
              <w:rPr>
                <w:rFonts w:ascii="Arial" w:hAnsi="Arial" w:cs="Arial"/>
                <w:sz w:val="20"/>
                <w:szCs w:val="20"/>
              </w:rPr>
            </w:pPr>
            <w:r w:rsidRPr="008F7F31">
              <w:rPr>
                <w:rFonts w:ascii="Arial" w:hAnsi="Arial" w:cs="Arial"/>
                <w:noProof/>
                <w:sz w:val="20"/>
                <w:szCs w:val="20"/>
              </w:rPr>
              <w:drawing>
                <wp:inline distT="0" distB="0" distL="0" distR="0" wp14:anchorId="3B5832A0" wp14:editId="4146A0E4">
                  <wp:extent cx="6130090" cy="142875"/>
                  <wp:effectExtent l="0" t="0" r="4445" b="0"/>
                  <wp:docPr id="205698825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6988254" name=""/>
                          <pic:cNvPicPr/>
                        </pic:nvPicPr>
                        <pic:blipFill rotWithShape="1">
                          <a:blip r:embed="rId6"/>
                          <a:srcRect l="8907" t="25003" r="1396" b="19991"/>
                          <a:stretch/>
                        </pic:blipFill>
                        <pic:spPr bwMode="auto">
                          <a:xfrm>
                            <a:off x="0" y="0"/>
                            <a:ext cx="6576738" cy="153285"/>
                          </a:xfrm>
                          <a:prstGeom prst="rect">
                            <a:avLst/>
                          </a:prstGeom>
                          <a:ln>
                            <a:noFill/>
                          </a:ln>
                          <a:extLst>
                            <a:ext uri="{53640926-AAD7-44D8-BBD7-CCE9431645EC}">
                              <a14:shadowObscured xmlns:a14="http://schemas.microsoft.com/office/drawing/2010/main"/>
                            </a:ext>
                          </a:extLst>
                        </pic:spPr>
                      </pic:pic>
                    </a:graphicData>
                  </a:graphic>
                </wp:inline>
              </w:drawing>
            </w:r>
          </w:p>
          <w:p w14:paraId="3510D386" w14:textId="3AB8816D" w:rsidR="008F7F31" w:rsidRPr="00762022" w:rsidRDefault="008F7F31" w:rsidP="001A7B5F">
            <w:pPr>
              <w:spacing w:line="276" w:lineRule="auto"/>
              <w:jc w:val="both"/>
              <w:rPr>
                <w:rFonts w:ascii="Arial" w:hAnsi="Arial" w:cs="Arial"/>
                <w:sz w:val="20"/>
                <w:szCs w:val="20"/>
              </w:rPr>
            </w:pPr>
            <w:r>
              <w:rPr>
                <w:rFonts w:ascii="Arial" w:hAnsi="Arial" w:cs="Arial"/>
                <w:sz w:val="20"/>
                <w:szCs w:val="20"/>
              </w:rPr>
              <w:t xml:space="preserve">Contratação prevista no PCA, porém, </w:t>
            </w:r>
            <w:r w:rsidR="008F5A36">
              <w:rPr>
                <w:rFonts w:ascii="Arial" w:hAnsi="Arial" w:cs="Arial"/>
                <w:sz w:val="20"/>
                <w:szCs w:val="20"/>
              </w:rPr>
              <w:t xml:space="preserve">atrasou </w:t>
            </w:r>
            <w:r w:rsidR="005C63DD">
              <w:rPr>
                <w:rFonts w:ascii="Arial" w:hAnsi="Arial" w:cs="Arial"/>
                <w:sz w:val="20"/>
                <w:szCs w:val="20"/>
              </w:rPr>
              <w:t xml:space="preserve">sua execução </w:t>
            </w:r>
            <w:r>
              <w:rPr>
                <w:rFonts w:ascii="Arial" w:hAnsi="Arial" w:cs="Arial"/>
                <w:sz w:val="20"/>
                <w:szCs w:val="20"/>
              </w:rPr>
              <w:t>devido as enchentes do ano de 2024, conforme Decreto de Calamidade Pública n° 2.260/2024.</w:t>
            </w:r>
          </w:p>
        </w:tc>
      </w:tr>
    </w:tbl>
    <w:p w14:paraId="469B7A1D" w14:textId="77777777" w:rsidR="00E252FA" w:rsidRPr="00762022" w:rsidRDefault="00E252FA" w:rsidP="00AD31B3">
      <w:pPr>
        <w:spacing w:after="0" w:line="276" w:lineRule="auto"/>
        <w:jc w:val="both"/>
        <w:rPr>
          <w:rFonts w:ascii="Arial" w:hAnsi="Arial" w:cs="Arial"/>
          <w:sz w:val="20"/>
          <w:szCs w:val="20"/>
        </w:rPr>
      </w:pPr>
    </w:p>
    <w:tbl>
      <w:tblPr>
        <w:tblStyle w:val="Tabelacomgrade"/>
        <w:tblW w:w="9918" w:type="dxa"/>
        <w:tblLook w:val="04A0" w:firstRow="1" w:lastRow="0" w:firstColumn="1" w:lastColumn="0" w:noHBand="0" w:noVBand="1"/>
      </w:tblPr>
      <w:tblGrid>
        <w:gridCol w:w="9918"/>
      </w:tblGrid>
      <w:tr w:rsidR="00E252FA" w:rsidRPr="00762022" w14:paraId="0AE7E4D6" w14:textId="77777777" w:rsidTr="00032506">
        <w:tc>
          <w:tcPr>
            <w:tcW w:w="9918" w:type="dxa"/>
          </w:tcPr>
          <w:p w14:paraId="3BE2E7EB" w14:textId="259EEF67" w:rsidR="00E252FA" w:rsidRPr="00762022" w:rsidRDefault="00E252FA" w:rsidP="00AD31B3">
            <w:pPr>
              <w:spacing w:line="276" w:lineRule="auto"/>
              <w:jc w:val="both"/>
              <w:rPr>
                <w:rFonts w:ascii="Arial" w:eastAsia="Times New Roman" w:hAnsi="Arial" w:cs="Arial"/>
                <w:b/>
                <w:bCs/>
                <w:color w:val="000000"/>
                <w:sz w:val="20"/>
                <w:szCs w:val="20"/>
                <w:lang w:eastAsia="pt-BR"/>
              </w:rPr>
            </w:pPr>
            <w:r w:rsidRPr="00762022">
              <w:rPr>
                <w:rFonts w:ascii="Arial" w:eastAsia="Times New Roman" w:hAnsi="Arial" w:cs="Arial"/>
                <w:b/>
                <w:bCs/>
                <w:color w:val="000000"/>
                <w:sz w:val="20"/>
                <w:szCs w:val="20"/>
                <w:lang w:eastAsia="pt-BR"/>
              </w:rPr>
              <w:t>3 – REQUISITOS DA CONTRATAÇÃO</w:t>
            </w:r>
          </w:p>
        </w:tc>
      </w:tr>
      <w:tr w:rsidR="00E252FA" w:rsidRPr="00762022" w14:paraId="7FA66362" w14:textId="77777777" w:rsidTr="005B2418">
        <w:tc>
          <w:tcPr>
            <w:tcW w:w="9918" w:type="dxa"/>
            <w:shd w:val="clear" w:color="auto" w:fill="F2F2F2" w:themeFill="background1" w:themeFillShade="F2"/>
          </w:tcPr>
          <w:p w14:paraId="7D429DA3" w14:textId="63D0F225" w:rsidR="00E252FA" w:rsidRPr="000C0560" w:rsidRDefault="00E252FA" w:rsidP="00AD31B3">
            <w:pPr>
              <w:spacing w:line="276" w:lineRule="auto"/>
              <w:jc w:val="both"/>
              <w:rPr>
                <w:rFonts w:ascii="Arial" w:eastAsia="Times New Roman" w:hAnsi="Arial" w:cs="Arial"/>
                <w:color w:val="000000"/>
                <w:sz w:val="20"/>
                <w:szCs w:val="20"/>
                <w:lang w:eastAsia="pt-BR"/>
              </w:rPr>
            </w:pPr>
            <w:r w:rsidRPr="000C0560">
              <w:rPr>
                <w:rFonts w:ascii="Arial" w:eastAsia="Times New Roman" w:hAnsi="Arial" w:cs="Arial"/>
                <w:bCs/>
                <w:color w:val="000000"/>
                <w:sz w:val="20"/>
                <w:szCs w:val="20"/>
                <w:lang w:eastAsia="pt-BR"/>
              </w:rPr>
              <w:t xml:space="preserve">Fundamentação: </w:t>
            </w:r>
            <w:r w:rsidRPr="000C0560">
              <w:rPr>
                <w:rFonts w:ascii="Arial" w:eastAsia="Times New Roman" w:hAnsi="Arial" w:cs="Arial"/>
                <w:color w:val="000000"/>
                <w:sz w:val="20"/>
                <w:szCs w:val="20"/>
                <w:lang w:eastAsia="pt-BR"/>
              </w:rPr>
              <w:t xml:space="preserve">Descrição dos requisitos necessários e suficientes à escolha da solução (inciso III do § 1° do art. 18 da Lei 14.133/2021); </w:t>
            </w:r>
          </w:p>
        </w:tc>
      </w:tr>
      <w:tr w:rsidR="00E252FA" w:rsidRPr="00762022" w14:paraId="7BEF5599" w14:textId="77777777" w:rsidTr="00032506">
        <w:tc>
          <w:tcPr>
            <w:tcW w:w="9918" w:type="dxa"/>
          </w:tcPr>
          <w:p w14:paraId="2D3F9978" w14:textId="7886462F" w:rsidR="00E252FA" w:rsidRPr="000C0560" w:rsidRDefault="005C63DD" w:rsidP="000C0560">
            <w:pPr>
              <w:rPr>
                <w:rFonts w:ascii="Arial" w:hAnsi="Arial" w:cs="Arial"/>
                <w:sz w:val="20"/>
                <w:szCs w:val="20"/>
              </w:rPr>
            </w:pPr>
            <w:r>
              <w:rPr>
                <w:rFonts w:ascii="Arial" w:hAnsi="Arial" w:cs="Arial"/>
                <w:sz w:val="20"/>
                <w:szCs w:val="20"/>
              </w:rPr>
              <w:t>Para fins de atendimento ao Convênio FPE 1713/2023 e a</w:t>
            </w:r>
            <w:r w:rsidR="000C0560" w:rsidRPr="000C0560">
              <w:rPr>
                <w:rFonts w:ascii="Arial" w:hAnsi="Arial" w:cs="Arial"/>
                <w:sz w:val="20"/>
                <w:szCs w:val="20"/>
              </w:rPr>
              <w:t>pós análise técnica do Setor de Engenharia constatou-se que é de extrema necessidade a perfuração e instalação de poço artesiano na Linha Herval, para que se estabeleça uma rede de água potável pública na comunidade</w:t>
            </w:r>
            <w:r w:rsidR="008F5A36">
              <w:rPr>
                <w:rFonts w:ascii="Arial" w:hAnsi="Arial" w:cs="Arial"/>
                <w:sz w:val="20"/>
                <w:szCs w:val="20"/>
              </w:rPr>
              <w:t xml:space="preserve">. </w:t>
            </w:r>
          </w:p>
        </w:tc>
      </w:tr>
    </w:tbl>
    <w:p w14:paraId="342A82F1" w14:textId="77777777" w:rsidR="00E252FA" w:rsidRPr="00762022" w:rsidRDefault="00E252FA" w:rsidP="00E252FA">
      <w:pPr>
        <w:pStyle w:val="Default"/>
        <w:spacing w:line="276" w:lineRule="auto"/>
        <w:jc w:val="both"/>
        <w:rPr>
          <w:rFonts w:ascii="Arial" w:eastAsia="Times New Roman" w:hAnsi="Arial" w:cs="Arial"/>
          <w:i/>
          <w:color w:val="auto"/>
          <w:sz w:val="20"/>
          <w:szCs w:val="20"/>
          <w:lang w:eastAsia="pt-BR"/>
        </w:rPr>
      </w:pPr>
      <w:r w:rsidRPr="00762022">
        <w:rPr>
          <w:rFonts w:ascii="Arial" w:eastAsia="Times New Roman" w:hAnsi="Arial" w:cs="Arial"/>
          <w:i/>
          <w:color w:val="auto"/>
          <w:sz w:val="20"/>
          <w:szCs w:val="20"/>
          <w:lang w:eastAsia="pt-BR"/>
        </w:rPr>
        <w:t xml:space="preserve"> </w:t>
      </w:r>
    </w:p>
    <w:tbl>
      <w:tblPr>
        <w:tblStyle w:val="Tabelacomgrade"/>
        <w:tblW w:w="9918" w:type="dxa"/>
        <w:tblLook w:val="04A0" w:firstRow="1" w:lastRow="0" w:firstColumn="1" w:lastColumn="0" w:noHBand="0" w:noVBand="1"/>
      </w:tblPr>
      <w:tblGrid>
        <w:gridCol w:w="9918"/>
      </w:tblGrid>
      <w:tr w:rsidR="00E252FA" w:rsidRPr="00762022" w14:paraId="2864CA27" w14:textId="77777777" w:rsidTr="00032506">
        <w:tc>
          <w:tcPr>
            <w:tcW w:w="9918" w:type="dxa"/>
          </w:tcPr>
          <w:p w14:paraId="151D842F" w14:textId="6C59C96A" w:rsidR="00E252FA" w:rsidRPr="00762022" w:rsidRDefault="00E252FA" w:rsidP="00E252FA">
            <w:pPr>
              <w:spacing w:line="276" w:lineRule="auto"/>
              <w:jc w:val="both"/>
              <w:rPr>
                <w:rFonts w:ascii="Arial" w:eastAsia="Times New Roman" w:hAnsi="Arial" w:cs="Arial"/>
                <w:b/>
                <w:bCs/>
                <w:color w:val="000000"/>
                <w:sz w:val="20"/>
                <w:szCs w:val="20"/>
                <w:highlight w:val="yellow"/>
                <w:lang w:eastAsia="pt-BR"/>
              </w:rPr>
            </w:pPr>
            <w:r w:rsidRPr="00983290">
              <w:rPr>
                <w:rFonts w:ascii="Arial" w:eastAsia="Times New Roman" w:hAnsi="Arial" w:cs="Arial"/>
                <w:b/>
                <w:bCs/>
                <w:color w:val="000000"/>
                <w:sz w:val="20"/>
                <w:szCs w:val="20"/>
                <w:lang w:eastAsia="pt-BR"/>
              </w:rPr>
              <w:t>4 – ESTIMATIVA DAS QUANTIDADES</w:t>
            </w:r>
          </w:p>
        </w:tc>
      </w:tr>
      <w:tr w:rsidR="00E252FA" w:rsidRPr="00762022" w14:paraId="0D8E2225" w14:textId="77777777" w:rsidTr="005B2418">
        <w:tc>
          <w:tcPr>
            <w:tcW w:w="9918" w:type="dxa"/>
            <w:shd w:val="clear" w:color="auto" w:fill="F2F2F2" w:themeFill="background1" w:themeFillShade="F2"/>
          </w:tcPr>
          <w:p w14:paraId="3DAC1428" w14:textId="732AAAB3" w:rsidR="00E252FA" w:rsidRPr="005B2418" w:rsidRDefault="00E252FA" w:rsidP="00E252FA">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eastAsia="Times New Roman" w:hAnsi="Arial" w:cs="Arial"/>
                <w:color w:val="000000"/>
                <w:sz w:val="20"/>
                <w:szCs w:val="20"/>
                <w:lang w:eastAsia="pt-BR"/>
              </w:rPr>
              <w:t xml:space="preserve">Estimativa das quantidades a serem contratadas, acompanhada das memórias de cálculo e dos documentos que lhe dão suporte, considerando a interdependência com outras contratações, de modo a possibilitar economia de escala (inciso IV do § 1° do art. 18 da Lei 14.133/21); </w:t>
            </w:r>
          </w:p>
        </w:tc>
      </w:tr>
      <w:tr w:rsidR="00E252FA" w:rsidRPr="00762022" w14:paraId="1669D00C" w14:textId="77777777" w:rsidTr="00032506">
        <w:tc>
          <w:tcPr>
            <w:tcW w:w="9918" w:type="dxa"/>
          </w:tcPr>
          <w:p w14:paraId="20C0903A" w14:textId="22502C79" w:rsidR="004A4956" w:rsidRPr="00017F13" w:rsidRDefault="00017F13" w:rsidP="00017F13">
            <w:pPr>
              <w:spacing w:line="276" w:lineRule="auto"/>
              <w:jc w:val="both"/>
              <w:rPr>
                <w:rFonts w:ascii="Arial" w:eastAsia="Times New Roman" w:hAnsi="Arial" w:cs="Arial"/>
                <w:sz w:val="20"/>
                <w:szCs w:val="20"/>
                <w:lang w:eastAsia="pt-BR"/>
              </w:rPr>
            </w:pPr>
            <w:r w:rsidRPr="00017F13">
              <w:rPr>
                <w:rFonts w:ascii="Arial" w:eastAsia="Times New Roman" w:hAnsi="Arial" w:cs="Arial"/>
                <w:sz w:val="20"/>
                <w:szCs w:val="20"/>
                <w:lang w:eastAsia="pt-BR"/>
              </w:rPr>
              <w:t xml:space="preserve">Conforme </w:t>
            </w:r>
            <w:r w:rsidR="000C0560">
              <w:rPr>
                <w:rFonts w:ascii="Arial" w:eastAsia="Times New Roman" w:hAnsi="Arial" w:cs="Arial"/>
                <w:sz w:val="20"/>
                <w:szCs w:val="20"/>
                <w:lang w:eastAsia="pt-BR"/>
              </w:rPr>
              <w:t>documentos</w:t>
            </w:r>
            <w:r w:rsidRPr="00017F13">
              <w:rPr>
                <w:rFonts w:ascii="Arial" w:eastAsia="Times New Roman" w:hAnsi="Arial" w:cs="Arial"/>
                <w:sz w:val="20"/>
                <w:szCs w:val="20"/>
                <w:lang w:eastAsia="pt-BR"/>
              </w:rPr>
              <w:t xml:space="preserve"> anex</w:t>
            </w:r>
            <w:r w:rsidR="000C0560">
              <w:rPr>
                <w:rFonts w:ascii="Arial" w:eastAsia="Times New Roman" w:hAnsi="Arial" w:cs="Arial"/>
                <w:sz w:val="20"/>
                <w:szCs w:val="20"/>
                <w:lang w:eastAsia="pt-BR"/>
              </w:rPr>
              <w:t>os</w:t>
            </w:r>
            <w:r w:rsidR="008F5A36">
              <w:rPr>
                <w:rFonts w:ascii="Arial" w:eastAsia="Times New Roman" w:hAnsi="Arial" w:cs="Arial"/>
                <w:sz w:val="20"/>
                <w:szCs w:val="20"/>
                <w:lang w:eastAsia="pt-BR"/>
              </w:rPr>
              <w:t xml:space="preserve"> na planilha orçamentária. </w:t>
            </w:r>
          </w:p>
        </w:tc>
      </w:tr>
    </w:tbl>
    <w:p w14:paraId="60A00A14" w14:textId="6A720B5B" w:rsidR="00E252FA" w:rsidRPr="00762022" w:rsidRDefault="00E252FA" w:rsidP="00E252FA">
      <w:pPr>
        <w:pStyle w:val="Default"/>
        <w:spacing w:line="276" w:lineRule="auto"/>
        <w:jc w:val="both"/>
        <w:rPr>
          <w:rFonts w:ascii="Arial" w:eastAsia="Times New Roman" w:hAnsi="Arial" w:cs="Arial"/>
          <w:i/>
          <w:color w:val="auto"/>
          <w:sz w:val="20"/>
          <w:szCs w:val="20"/>
          <w:lang w:eastAsia="pt-BR"/>
        </w:rPr>
      </w:pPr>
    </w:p>
    <w:tbl>
      <w:tblPr>
        <w:tblStyle w:val="Tabelacomgrade"/>
        <w:tblW w:w="9918" w:type="dxa"/>
        <w:tblLook w:val="04A0" w:firstRow="1" w:lastRow="0" w:firstColumn="1" w:lastColumn="0" w:noHBand="0" w:noVBand="1"/>
      </w:tblPr>
      <w:tblGrid>
        <w:gridCol w:w="9918"/>
      </w:tblGrid>
      <w:tr w:rsidR="00E252FA" w:rsidRPr="00762022" w14:paraId="713CEADA" w14:textId="77777777" w:rsidTr="00032506">
        <w:tc>
          <w:tcPr>
            <w:tcW w:w="9918" w:type="dxa"/>
          </w:tcPr>
          <w:p w14:paraId="6F177052" w14:textId="19790BBB" w:rsidR="00E252FA" w:rsidRPr="00762022" w:rsidRDefault="00E252FA" w:rsidP="00AD31B3">
            <w:pPr>
              <w:spacing w:line="276" w:lineRule="auto"/>
              <w:jc w:val="both"/>
              <w:rPr>
                <w:rFonts w:ascii="Arial" w:hAnsi="Arial" w:cs="Arial"/>
                <w:b/>
                <w:sz w:val="20"/>
                <w:szCs w:val="20"/>
              </w:rPr>
            </w:pPr>
            <w:r w:rsidRPr="00762022">
              <w:rPr>
                <w:rFonts w:ascii="Arial" w:hAnsi="Arial" w:cs="Arial"/>
                <w:b/>
                <w:sz w:val="20"/>
                <w:szCs w:val="20"/>
              </w:rPr>
              <w:t>5 – LEVANTAMENTO DE MERCADO</w:t>
            </w:r>
          </w:p>
        </w:tc>
      </w:tr>
      <w:tr w:rsidR="00E252FA" w:rsidRPr="00762022" w14:paraId="3A3AAD56" w14:textId="77777777" w:rsidTr="005B2418">
        <w:tc>
          <w:tcPr>
            <w:tcW w:w="9918" w:type="dxa"/>
            <w:shd w:val="clear" w:color="auto" w:fill="F2F2F2" w:themeFill="background1" w:themeFillShade="F2"/>
          </w:tcPr>
          <w:p w14:paraId="490AB125" w14:textId="46DCA7F5" w:rsidR="00E252FA" w:rsidRPr="005B2418" w:rsidRDefault="00E252FA" w:rsidP="00AD31B3">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hAnsi="Arial" w:cs="Arial"/>
                <w:sz w:val="20"/>
                <w:szCs w:val="20"/>
              </w:rPr>
              <w:t>Levantamento de mercado, que consiste na análise das alternativas possíveis, e justificativa técnica e econômica da escolha do tipo de solução a contratar (</w:t>
            </w:r>
            <w:r w:rsidRPr="005B2418">
              <w:rPr>
                <w:rFonts w:ascii="Arial" w:eastAsia="Times New Roman" w:hAnsi="Arial" w:cs="Arial"/>
                <w:color w:val="000000"/>
                <w:sz w:val="20"/>
                <w:szCs w:val="20"/>
                <w:lang w:eastAsia="pt-BR"/>
              </w:rPr>
              <w:t xml:space="preserve">inciso V do § 1° do art. 18 da Lei 14.133/2021); </w:t>
            </w:r>
          </w:p>
        </w:tc>
      </w:tr>
      <w:tr w:rsidR="00E252FA" w:rsidRPr="00762022" w14:paraId="611A629F" w14:textId="77777777" w:rsidTr="00032506">
        <w:tc>
          <w:tcPr>
            <w:tcW w:w="9918" w:type="dxa"/>
          </w:tcPr>
          <w:p w14:paraId="78188E5C" w14:textId="3A7DA333" w:rsidR="00E252FA" w:rsidRPr="00762022" w:rsidRDefault="00C85769" w:rsidP="004A4956">
            <w:pPr>
              <w:spacing w:line="276" w:lineRule="auto"/>
              <w:jc w:val="both"/>
              <w:rPr>
                <w:rFonts w:ascii="Arial" w:hAnsi="Arial" w:cs="Arial"/>
                <w:sz w:val="20"/>
                <w:szCs w:val="20"/>
              </w:rPr>
            </w:pPr>
            <w:r>
              <w:rPr>
                <w:rFonts w:ascii="Arial" w:hAnsi="Arial" w:cs="Arial"/>
                <w:sz w:val="20"/>
                <w:szCs w:val="20"/>
              </w:rPr>
              <w:t xml:space="preserve">Por falta de mão de obra específica, em nosso quadro, faz-se necessária a contratação de empresa especializada para a </w:t>
            </w:r>
            <w:r w:rsidR="000C0560">
              <w:rPr>
                <w:rFonts w:ascii="Arial" w:hAnsi="Arial" w:cs="Arial"/>
                <w:sz w:val="20"/>
                <w:szCs w:val="20"/>
              </w:rPr>
              <w:t>perfuração e instalação do poço da Linha Herval</w:t>
            </w:r>
            <w:r>
              <w:rPr>
                <w:rFonts w:ascii="Arial" w:hAnsi="Arial" w:cs="Arial"/>
                <w:sz w:val="20"/>
                <w:szCs w:val="20"/>
              </w:rPr>
              <w:t>, por empreitada global, tendo como base de orçamento</w:t>
            </w:r>
            <w:r w:rsidR="00C62D1C">
              <w:rPr>
                <w:rFonts w:ascii="Arial" w:hAnsi="Arial" w:cs="Arial"/>
                <w:sz w:val="20"/>
                <w:szCs w:val="20"/>
              </w:rPr>
              <w:t xml:space="preserve">, valores </w:t>
            </w:r>
            <w:r>
              <w:rPr>
                <w:rFonts w:ascii="Arial" w:hAnsi="Arial" w:cs="Arial"/>
                <w:sz w:val="20"/>
                <w:szCs w:val="20"/>
              </w:rPr>
              <w:t>SINAPI</w:t>
            </w:r>
            <w:r w:rsidR="008F5A36">
              <w:rPr>
                <w:rFonts w:ascii="Arial" w:hAnsi="Arial" w:cs="Arial"/>
                <w:sz w:val="20"/>
                <w:szCs w:val="20"/>
              </w:rPr>
              <w:t xml:space="preserve"> conforme planilha elaborado por profissional especializada contratada.</w:t>
            </w:r>
          </w:p>
        </w:tc>
      </w:tr>
    </w:tbl>
    <w:p w14:paraId="5E1FD06F" w14:textId="19E6B432" w:rsidR="00E252FA" w:rsidRDefault="00E252FA" w:rsidP="00E252FA">
      <w:pPr>
        <w:spacing w:after="0" w:line="276" w:lineRule="auto"/>
        <w:jc w:val="both"/>
        <w:rPr>
          <w:rFonts w:ascii="Arial" w:eastAsia="Times New Roman" w:hAnsi="Arial" w:cs="Arial"/>
          <w:i/>
          <w:sz w:val="20"/>
          <w:szCs w:val="20"/>
          <w:lang w:eastAsia="pt-BR"/>
        </w:rPr>
      </w:pPr>
      <w:r w:rsidRPr="00762022">
        <w:rPr>
          <w:rFonts w:ascii="Arial" w:eastAsia="Times New Roman" w:hAnsi="Arial" w:cs="Arial"/>
          <w:i/>
          <w:sz w:val="20"/>
          <w:szCs w:val="20"/>
          <w:lang w:eastAsia="pt-BR"/>
        </w:rPr>
        <w:t xml:space="preserve"> </w:t>
      </w:r>
    </w:p>
    <w:p w14:paraId="377B276B" w14:textId="77777777" w:rsidR="000C7796" w:rsidRDefault="000C7796" w:rsidP="00E252FA">
      <w:pPr>
        <w:spacing w:after="0" w:line="276" w:lineRule="auto"/>
        <w:jc w:val="both"/>
        <w:rPr>
          <w:rFonts w:ascii="Arial" w:eastAsia="Times New Roman" w:hAnsi="Arial" w:cs="Arial"/>
          <w:i/>
          <w:sz w:val="20"/>
          <w:szCs w:val="20"/>
          <w:lang w:eastAsia="pt-BR"/>
        </w:rPr>
      </w:pPr>
    </w:p>
    <w:p w14:paraId="52361638" w14:textId="77777777" w:rsidR="000C7796" w:rsidRDefault="000C7796" w:rsidP="00E252FA">
      <w:pPr>
        <w:spacing w:after="0" w:line="276" w:lineRule="auto"/>
        <w:jc w:val="both"/>
        <w:rPr>
          <w:rFonts w:ascii="Arial" w:eastAsia="Times New Roman" w:hAnsi="Arial" w:cs="Arial"/>
          <w:i/>
          <w:sz w:val="20"/>
          <w:szCs w:val="20"/>
          <w:lang w:eastAsia="pt-BR"/>
        </w:rPr>
      </w:pPr>
    </w:p>
    <w:p w14:paraId="009487A5" w14:textId="77777777" w:rsidR="000C7796" w:rsidRPr="00762022" w:rsidRDefault="000C7796" w:rsidP="00E252FA">
      <w:pPr>
        <w:spacing w:after="0" w:line="276" w:lineRule="auto"/>
        <w:jc w:val="both"/>
        <w:rPr>
          <w:rFonts w:ascii="Arial" w:eastAsia="Times New Roman" w:hAnsi="Arial" w:cs="Arial"/>
          <w:i/>
          <w:sz w:val="20"/>
          <w:szCs w:val="20"/>
          <w:lang w:eastAsia="pt-BR"/>
        </w:rPr>
      </w:pPr>
    </w:p>
    <w:tbl>
      <w:tblPr>
        <w:tblStyle w:val="Tabelacomgrade"/>
        <w:tblW w:w="9918" w:type="dxa"/>
        <w:tblLook w:val="04A0" w:firstRow="1" w:lastRow="0" w:firstColumn="1" w:lastColumn="0" w:noHBand="0" w:noVBand="1"/>
      </w:tblPr>
      <w:tblGrid>
        <w:gridCol w:w="9918"/>
      </w:tblGrid>
      <w:tr w:rsidR="000244A8" w:rsidRPr="00762022" w14:paraId="6F96DDE2" w14:textId="77777777" w:rsidTr="00032506">
        <w:tc>
          <w:tcPr>
            <w:tcW w:w="9918" w:type="dxa"/>
          </w:tcPr>
          <w:p w14:paraId="05D24B13" w14:textId="781DA604" w:rsidR="000244A8" w:rsidRPr="00762022" w:rsidRDefault="000244A8" w:rsidP="00AD31B3">
            <w:pPr>
              <w:spacing w:line="276" w:lineRule="auto"/>
              <w:jc w:val="both"/>
              <w:rPr>
                <w:rFonts w:ascii="Arial" w:eastAsia="Times New Roman" w:hAnsi="Arial" w:cs="Arial"/>
                <w:b/>
                <w:bCs/>
                <w:color w:val="000000"/>
                <w:sz w:val="20"/>
                <w:szCs w:val="20"/>
                <w:lang w:eastAsia="pt-BR"/>
              </w:rPr>
            </w:pPr>
            <w:r w:rsidRPr="00762022">
              <w:rPr>
                <w:rFonts w:ascii="Arial" w:eastAsia="Times New Roman" w:hAnsi="Arial" w:cs="Arial"/>
                <w:b/>
                <w:bCs/>
                <w:color w:val="000000"/>
                <w:sz w:val="20"/>
                <w:szCs w:val="20"/>
                <w:lang w:eastAsia="pt-BR"/>
              </w:rPr>
              <w:lastRenderedPageBreak/>
              <w:t>6 – ESTIMATIVA DO VALOR DA CONTRATAÇÃO</w:t>
            </w:r>
          </w:p>
        </w:tc>
      </w:tr>
      <w:tr w:rsidR="000244A8" w:rsidRPr="00762022" w14:paraId="4FB0041A" w14:textId="77777777" w:rsidTr="005B2418">
        <w:tc>
          <w:tcPr>
            <w:tcW w:w="9918" w:type="dxa"/>
            <w:shd w:val="clear" w:color="auto" w:fill="F2F2F2" w:themeFill="background1" w:themeFillShade="F2"/>
          </w:tcPr>
          <w:p w14:paraId="09CB19F8" w14:textId="554E1D8B" w:rsidR="000244A8" w:rsidRPr="005B2418" w:rsidRDefault="000244A8" w:rsidP="00AD31B3">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eastAsia="Times New Roman" w:hAnsi="Arial" w:cs="Arial"/>
                <w:color w:val="000000"/>
                <w:sz w:val="20"/>
                <w:szCs w:val="20"/>
                <w:lang w:eastAsia="pt-BR"/>
              </w:rPr>
              <w:t>Estimativa do valor da contratação, acompanhada dos preços unitários referenciais, das memórias de cálculo e dos documentos que lhe dão suporte, que poderão constar de anexo classificado, se a administração optar por preservar o seu sigilo até a conclusão da licitação (inciso VI do § 1° da Lei 14.133/21);</w:t>
            </w:r>
          </w:p>
        </w:tc>
      </w:tr>
      <w:tr w:rsidR="000244A8" w:rsidRPr="00762022" w14:paraId="6E5A95EB" w14:textId="77777777" w:rsidTr="00032506">
        <w:tc>
          <w:tcPr>
            <w:tcW w:w="9918" w:type="dxa"/>
          </w:tcPr>
          <w:p w14:paraId="2E9A3E73" w14:textId="2ED65DA8" w:rsidR="000244A8" w:rsidRPr="000C0560" w:rsidRDefault="00C62D1C" w:rsidP="008401B7">
            <w:pPr>
              <w:pStyle w:val="Default"/>
              <w:rPr>
                <w:rFonts w:ascii="Arial" w:hAnsi="Arial" w:cs="Arial"/>
                <w:sz w:val="20"/>
                <w:szCs w:val="20"/>
              </w:rPr>
            </w:pPr>
            <w:r w:rsidRPr="000C0560">
              <w:rPr>
                <w:rFonts w:ascii="Arial" w:hAnsi="Arial" w:cs="Arial"/>
                <w:sz w:val="20"/>
                <w:szCs w:val="20"/>
              </w:rPr>
              <w:t>R$</w:t>
            </w:r>
            <w:r w:rsidR="000C0560" w:rsidRPr="000C0560">
              <w:rPr>
                <w:rFonts w:ascii="Arial" w:hAnsi="Arial" w:cs="Arial"/>
                <w:bCs/>
                <w:sz w:val="20"/>
                <w:szCs w:val="20"/>
              </w:rPr>
              <w:t>261.649,73</w:t>
            </w:r>
            <w:r w:rsidR="008401B7" w:rsidRPr="000C0560">
              <w:rPr>
                <w:rFonts w:ascii="Arial" w:hAnsi="Arial" w:cs="Arial"/>
                <w:sz w:val="20"/>
                <w:szCs w:val="20"/>
              </w:rPr>
              <w:t xml:space="preserve">, </w:t>
            </w:r>
            <w:r w:rsidRPr="000C0560">
              <w:rPr>
                <w:rFonts w:ascii="Arial" w:hAnsi="Arial" w:cs="Arial"/>
                <w:sz w:val="20"/>
                <w:szCs w:val="20"/>
              </w:rPr>
              <w:t>conforme planilha orçamentária anexa, base SINAPI.</w:t>
            </w:r>
          </w:p>
        </w:tc>
      </w:tr>
    </w:tbl>
    <w:p w14:paraId="26D61C7C" w14:textId="161F3BEF" w:rsidR="002E1C9E" w:rsidRDefault="002E1C9E" w:rsidP="00AD31B3">
      <w:pPr>
        <w:spacing w:after="0" w:line="276" w:lineRule="auto"/>
        <w:jc w:val="both"/>
        <w:rPr>
          <w:rFonts w:ascii="Arial" w:hAnsi="Arial" w:cs="Arial"/>
          <w:b/>
          <w:sz w:val="20"/>
          <w:szCs w:val="20"/>
        </w:rPr>
      </w:pPr>
    </w:p>
    <w:tbl>
      <w:tblPr>
        <w:tblStyle w:val="Tabelacomgrade"/>
        <w:tblW w:w="9918" w:type="dxa"/>
        <w:tblLook w:val="04A0" w:firstRow="1" w:lastRow="0" w:firstColumn="1" w:lastColumn="0" w:noHBand="0" w:noVBand="1"/>
      </w:tblPr>
      <w:tblGrid>
        <w:gridCol w:w="9918"/>
      </w:tblGrid>
      <w:tr w:rsidR="000244A8" w:rsidRPr="00762022" w14:paraId="5AE10495" w14:textId="77777777" w:rsidTr="00032506">
        <w:tc>
          <w:tcPr>
            <w:tcW w:w="9918" w:type="dxa"/>
          </w:tcPr>
          <w:p w14:paraId="5072B044" w14:textId="0E6A2382" w:rsidR="000244A8" w:rsidRPr="00762022" w:rsidRDefault="000244A8" w:rsidP="00AD31B3">
            <w:pPr>
              <w:spacing w:line="276" w:lineRule="auto"/>
              <w:jc w:val="both"/>
              <w:rPr>
                <w:rFonts w:ascii="Arial" w:hAnsi="Arial" w:cs="Arial"/>
                <w:b/>
                <w:bCs/>
                <w:sz w:val="20"/>
                <w:szCs w:val="20"/>
              </w:rPr>
            </w:pPr>
            <w:r w:rsidRPr="00762022">
              <w:rPr>
                <w:rFonts w:ascii="Arial" w:hAnsi="Arial" w:cs="Arial"/>
                <w:b/>
                <w:bCs/>
                <w:sz w:val="20"/>
                <w:szCs w:val="20"/>
              </w:rPr>
              <w:t>7 - DESCRIÇÃO DA SOLUÇÃO COMO UM TODO</w:t>
            </w:r>
          </w:p>
        </w:tc>
      </w:tr>
      <w:tr w:rsidR="000244A8" w:rsidRPr="00762022" w14:paraId="2702505C" w14:textId="77777777" w:rsidTr="005B2418">
        <w:tc>
          <w:tcPr>
            <w:tcW w:w="9918" w:type="dxa"/>
            <w:shd w:val="clear" w:color="auto" w:fill="F2F2F2" w:themeFill="background1" w:themeFillShade="F2"/>
          </w:tcPr>
          <w:p w14:paraId="0579A6D8" w14:textId="043294F3" w:rsidR="000244A8" w:rsidRPr="005B2418" w:rsidRDefault="000244A8" w:rsidP="00AD31B3">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eastAsia="Times New Roman" w:hAnsi="Arial" w:cs="Arial"/>
                <w:color w:val="000000"/>
                <w:sz w:val="20"/>
                <w:szCs w:val="20"/>
                <w:lang w:eastAsia="pt-BR"/>
              </w:rPr>
              <w:t xml:space="preserve">Descrição da solução como um todo, inclusive das exigências relacionadas à manutenção e à assistência técnica, quando for o caso (inciso VII do § 1° do art. 18 da Lei 14.133/21); </w:t>
            </w:r>
          </w:p>
        </w:tc>
      </w:tr>
      <w:tr w:rsidR="000244A8" w:rsidRPr="00762022" w14:paraId="6DDF829F" w14:textId="77777777" w:rsidTr="00032506">
        <w:tc>
          <w:tcPr>
            <w:tcW w:w="9918" w:type="dxa"/>
          </w:tcPr>
          <w:p w14:paraId="1ED1B37D" w14:textId="5748C017" w:rsidR="000244A8" w:rsidRPr="00020D9D" w:rsidRDefault="00020D9D" w:rsidP="000B39B8">
            <w:pPr>
              <w:spacing w:line="276" w:lineRule="auto"/>
              <w:jc w:val="both"/>
              <w:rPr>
                <w:rFonts w:ascii="Arial" w:hAnsi="Arial" w:cs="Arial"/>
                <w:sz w:val="20"/>
                <w:szCs w:val="20"/>
              </w:rPr>
            </w:pPr>
            <w:r w:rsidRPr="00020D9D">
              <w:rPr>
                <w:rFonts w:ascii="Arial" w:hAnsi="Arial" w:cs="Arial"/>
                <w:sz w:val="20"/>
                <w:szCs w:val="20"/>
              </w:rPr>
              <w:t xml:space="preserve">Pretende-se melhorar atender a comunidade de Linha Herval, fornecendo água potável, por meio de rede de água pública, proveniente de poço artesiano. Sendo que a Contratada será responsável pela garantia dos materiais empregados e pelos serviços executados, conforme normas ABNT e NBR 12.212 e 12.244. Quaisquer defeitos que porventura ocorrerem, excetuando-se danos causados pela Contratante, serão corrigidos às custas da Contratada. </w:t>
            </w:r>
            <w:r w:rsidRPr="00020D9D">
              <w:rPr>
                <w:rFonts w:ascii="Arial" w:hAnsi="Arial" w:cs="Arial"/>
                <w:color w:val="000000"/>
                <w:sz w:val="20"/>
                <w:szCs w:val="20"/>
              </w:rPr>
              <w:t>Eventuais alterações na qualidade da água, produção de sedimentos ou retenção de equipamentos dentro do poço causadas pela má construção, serão de responsabilidade da Contratada pelo período de 01 (um) ano a partir da conclusão de toda a obra e do aceite da Contratante, ficando a mesma, a Contratada, obrigada a reparar o dano, no prazo máximo de 30 (trinta) dias, mediante notificação do Município de Imigrante/RS.</w:t>
            </w:r>
          </w:p>
        </w:tc>
      </w:tr>
    </w:tbl>
    <w:p w14:paraId="7EBACB50" w14:textId="77777777" w:rsidR="000244A8" w:rsidRPr="00762022" w:rsidRDefault="000244A8" w:rsidP="00AD31B3">
      <w:pPr>
        <w:spacing w:after="0" w:line="276" w:lineRule="auto"/>
        <w:jc w:val="both"/>
        <w:rPr>
          <w:rFonts w:ascii="Arial" w:hAnsi="Arial" w:cs="Arial"/>
          <w:b/>
          <w:sz w:val="20"/>
          <w:szCs w:val="20"/>
        </w:rPr>
      </w:pPr>
    </w:p>
    <w:tbl>
      <w:tblPr>
        <w:tblStyle w:val="Tabelacomgrade"/>
        <w:tblW w:w="9918" w:type="dxa"/>
        <w:tblLook w:val="04A0" w:firstRow="1" w:lastRow="0" w:firstColumn="1" w:lastColumn="0" w:noHBand="0" w:noVBand="1"/>
      </w:tblPr>
      <w:tblGrid>
        <w:gridCol w:w="9918"/>
      </w:tblGrid>
      <w:tr w:rsidR="000244A8" w:rsidRPr="00762022" w14:paraId="5518CCA2" w14:textId="77777777" w:rsidTr="00032506">
        <w:tc>
          <w:tcPr>
            <w:tcW w:w="9918" w:type="dxa"/>
          </w:tcPr>
          <w:p w14:paraId="01026CE9" w14:textId="04E2097B" w:rsidR="000244A8" w:rsidRPr="00762022" w:rsidRDefault="000244A8" w:rsidP="00AD31B3">
            <w:pPr>
              <w:spacing w:line="276" w:lineRule="auto"/>
              <w:jc w:val="both"/>
              <w:rPr>
                <w:rFonts w:ascii="Arial" w:eastAsia="Times New Roman" w:hAnsi="Arial" w:cs="Arial"/>
                <w:b/>
                <w:bCs/>
                <w:color w:val="000000"/>
                <w:sz w:val="20"/>
                <w:szCs w:val="20"/>
                <w:lang w:eastAsia="pt-BR"/>
              </w:rPr>
            </w:pPr>
            <w:r w:rsidRPr="00762022">
              <w:rPr>
                <w:rFonts w:ascii="Arial" w:eastAsia="Times New Roman" w:hAnsi="Arial" w:cs="Arial"/>
                <w:b/>
                <w:bCs/>
                <w:color w:val="000000"/>
                <w:sz w:val="20"/>
                <w:szCs w:val="20"/>
                <w:lang w:eastAsia="pt-BR"/>
              </w:rPr>
              <w:t>8 – JUSTIFICATIVA PARA PARCELAMENTO</w:t>
            </w:r>
          </w:p>
        </w:tc>
      </w:tr>
      <w:tr w:rsidR="000244A8" w:rsidRPr="00762022" w14:paraId="4DFF495C" w14:textId="77777777" w:rsidTr="005B2418">
        <w:tc>
          <w:tcPr>
            <w:tcW w:w="9918" w:type="dxa"/>
            <w:shd w:val="clear" w:color="auto" w:fill="F2F2F2" w:themeFill="background1" w:themeFillShade="F2"/>
          </w:tcPr>
          <w:p w14:paraId="336F4037" w14:textId="05B2F098" w:rsidR="000244A8" w:rsidRPr="005B2418" w:rsidRDefault="000244A8" w:rsidP="00AD31B3">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eastAsia="Times New Roman" w:hAnsi="Arial" w:cs="Arial"/>
                <w:color w:val="000000"/>
                <w:sz w:val="20"/>
                <w:szCs w:val="20"/>
                <w:lang w:eastAsia="pt-BR"/>
              </w:rPr>
              <w:t xml:space="preserve">Justificativas para o parcelamento ou não da contratação (inciso VIII do § 1° do art. 18 da Lei 14.133/21); </w:t>
            </w:r>
          </w:p>
        </w:tc>
      </w:tr>
      <w:tr w:rsidR="000244A8" w:rsidRPr="00762022" w14:paraId="13BEB5DD" w14:textId="77777777" w:rsidTr="00032506">
        <w:tc>
          <w:tcPr>
            <w:tcW w:w="9918" w:type="dxa"/>
          </w:tcPr>
          <w:p w14:paraId="55AE1DEB" w14:textId="467510C5" w:rsidR="000244A8" w:rsidRPr="00B92449" w:rsidRDefault="008F5A36" w:rsidP="000244A8">
            <w:pPr>
              <w:spacing w:line="276" w:lineRule="auto"/>
              <w:jc w:val="both"/>
              <w:rPr>
                <w:rFonts w:ascii="Arial" w:hAnsi="Arial" w:cs="Arial"/>
                <w:sz w:val="20"/>
                <w:szCs w:val="20"/>
              </w:rPr>
            </w:pPr>
            <w:r>
              <w:rPr>
                <w:rFonts w:ascii="Arial" w:hAnsi="Arial" w:cs="Arial"/>
                <w:sz w:val="20"/>
                <w:szCs w:val="20"/>
              </w:rPr>
              <w:t>Menor preço global – Julgamento por empreitada</w:t>
            </w:r>
            <w:r w:rsidR="005C63DD">
              <w:rPr>
                <w:rFonts w:ascii="Arial" w:hAnsi="Arial" w:cs="Arial"/>
                <w:sz w:val="20"/>
                <w:szCs w:val="20"/>
              </w:rPr>
              <w:t xml:space="preserve"> global.</w:t>
            </w:r>
          </w:p>
        </w:tc>
      </w:tr>
    </w:tbl>
    <w:p w14:paraId="7DCD2CE6" w14:textId="1182B29D" w:rsidR="00AC750B" w:rsidRPr="00762022" w:rsidRDefault="00AC750B" w:rsidP="00AD31B3">
      <w:pPr>
        <w:spacing w:after="0" w:line="276" w:lineRule="auto"/>
        <w:jc w:val="both"/>
        <w:rPr>
          <w:rFonts w:ascii="Arial" w:hAnsi="Arial" w:cs="Arial"/>
          <w:b/>
          <w:bCs/>
          <w:sz w:val="20"/>
          <w:szCs w:val="20"/>
        </w:rPr>
      </w:pPr>
    </w:p>
    <w:tbl>
      <w:tblPr>
        <w:tblStyle w:val="Tabelacomgrade"/>
        <w:tblW w:w="9918" w:type="dxa"/>
        <w:tblLook w:val="04A0" w:firstRow="1" w:lastRow="0" w:firstColumn="1" w:lastColumn="0" w:noHBand="0" w:noVBand="1"/>
      </w:tblPr>
      <w:tblGrid>
        <w:gridCol w:w="9918"/>
      </w:tblGrid>
      <w:tr w:rsidR="000244A8" w:rsidRPr="00762022" w14:paraId="2BB3AD75" w14:textId="77777777" w:rsidTr="00032506">
        <w:tc>
          <w:tcPr>
            <w:tcW w:w="9918" w:type="dxa"/>
          </w:tcPr>
          <w:p w14:paraId="2AF247A7" w14:textId="67A256A9" w:rsidR="000244A8" w:rsidRPr="00762022" w:rsidRDefault="000244A8" w:rsidP="000244A8">
            <w:pPr>
              <w:spacing w:line="276" w:lineRule="auto"/>
              <w:jc w:val="both"/>
              <w:rPr>
                <w:rFonts w:ascii="Arial" w:hAnsi="Arial" w:cs="Arial"/>
                <w:b/>
                <w:sz w:val="20"/>
                <w:szCs w:val="20"/>
              </w:rPr>
            </w:pPr>
            <w:r w:rsidRPr="00762022">
              <w:rPr>
                <w:rFonts w:ascii="Arial" w:hAnsi="Arial" w:cs="Arial"/>
                <w:b/>
                <w:sz w:val="20"/>
                <w:szCs w:val="20"/>
              </w:rPr>
              <w:t>9 - DEMONSTRATIVO DOS RESULTADOS PRETENDIDOS</w:t>
            </w:r>
          </w:p>
        </w:tc>
      </w:tr>
      <w:tr w:rsidR="000244A8" w:rsidRPr="00762022" w14:paraId="7EA9F119" w14:textId="77777777" w:rsidTr="005B2418">
        <w:tc>
          <w:tcPr>
            <w:tcW w:w="9918" w:type="dxa"/>
            <w:shd w:val="clear" w:color="auto" w:fill="F2F2F2" w:themeFill="background1" w:themeFillShade="F2"/>
          </w:tcPr>
          <w:p w14:paraId="2712288A" w14:textId="7C793F3B" w:rsidR="000244A8" w:rsidRPr="005B2418" w:rsidRDefault="000244A8" w:rsidP="000244A8">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hAnsi="Arial" w:cs="Arial"/>
                <w:sz w:val="20"/>
                <w:szCs w:val="20"/>
              </w:rPr>
              <w:t>Demonstrativo dos resultados pretendidos em termos de economicidade e de melhor aproveitamento dos recursos humanos, materiais e financeiros disponíveis (</w:t>
            </w:r>
            <w:r w:rsidRPr="005B2418">
              <w:rPr>
                <w:rFonts w:ascii="Arial" w:eastAsia="Times New Roman" w:hAnsi="Arial" w:cs="Arial"/>
                <w:color w:val="000000"/>
                <w:sz w:val="20"/>
                <w:szCs w:val="20"/>
                <w:lang w:eastAsia="pt-BR"/>
              </w:rPr>
              <w:t xml:space="preserve">inciso IX do § 1° do art. 18 da Lei 14.133/21); </w:t>
            </w:r>
          </w:p>
        </w:tc>
      </w:tr>
      <w:tr w:rsidR="000244A8" w:rsidRPr="00762022" w14:paraId="259A8194" w14:textId="77777777" w:rsidTr="000C0560">
        <w:trPr>
          <w:trHeight w:val="205"/>
        </w:trPr>
        <w:tc>
          <w:tcPr>
            <w:tcW w:w="9918" w:type="dxa"/>
          </w:tcPr>
          <w:p w14:paraId="19BB10E6" w14:textId="77777777" w:rsidR="00020D9D" w:rsidRPr="00020D9D" w:rsidRDefault="00020D9D" w:rsidP="00020D9D">
            <w:pPr>
              <w:autoSpaceDE w:val="0"/>
              <w:autoSpaceDN w:val="0"/>
              <w:adjustRightInd w:val="0"/>
              <w:spacing w:before="2"/>
              <w:ind w:firstLine="14"/>
              <w:jc w:val="both"/>
              <w:rPr>
                <w:rFonts w:ascii="Arial" w:hAnsi="Arial" w:cs="Arial"/>
                <w:color w:val="000000"/>
                <w:sz w:val="20"/>
                <w:szCs w:val="20"/>
              </w:rPr>
            </w:pPr>
            <w:r w:rsidRPr="00020D9D">
              <w:rPr>
                <w:rFonts w:ascii="Arial" w:hAnsi="Arial" w:cs="Arial"/>
                <w:color w:val="000000"/>
                <w:sz w:val="20"/>
                <w:szCs w:val="20"/>
              </w:rPr>
              <w:t>A previsão estimada é de que cerca de 35 (trinta e cinco) famílias devem ser beneficiadas pelo abastecimento do poço tubular profundo. Considerando a Resolução n° 255 de 05 de dezembro de 2017, que estabelece valores de referência, onde:</w:t>
            </w:r>
          </w:p>
          <w:p w14:paraId="38841781" w14:textId="77777777" w:rsidR="00020D9D" w:rsidRPr="00020D9D" w:rsidRDefault="00020D9D" w:rsidP="00020D9D">
            <w:pPr>
              <w:autoSpaceDE w:val="0"/>
              <w:autoSpaceDN w:val="0"/>
              <w:adjustRightInd w:val="0"/>
              <w:spacing w:before="2"/>
              <w:ind w:firstLine="14"/>
              <w:jc w:val="both"/>
              <w:rPr>
                <w:rFonts w:ascii="Arial" w:hAnsi="Arial" w:cs="Arial"/>
                <w:color w:val="000000"/>
                <w:sz w:val="20"/>
                <w:szCs w:val="20"/>
              </w:rPr>
            </w:pPr>
            <w:r w:rsidRPr="00020D9D">
              <w:rPr>
                <w:rFonts w:ascii="Arial" w:hAnsi="Arial" w:cs="Arial"/>
                <w:color w:val="000000"/>
                <w:sz w:val="20"/>
                <w:szCs w:val="20"/>
              </w:rPr>
              <w:t>Consumo (C): 180 l/pessoa x dia</w:t>
            </w:r>
          </w:p>
          <w:p w14:paraId="3E86826F" w14:textId="77777777" w:rsidR="00020D9D" w:rsidRPr="00020D9D" w:rsidRDefault="00020D9D" w:rsidP="00020D9D">
            <w:pPr>
              <w:autoSpaceDE w:val="0"/>
              <w:autoSpaceDN w:val="0"/>
              <w:adjustRightInd w:val="0"/>
              <w:spacing w:before="2"/>
              <w:ind w:firstLine="14"/>
              <w:jc w:val="both"/>
              <w:rPr>
                <w:rFonts w:ascii="Arial" w:hAnsi="Arial" w:cs="Arial"/>
                <w:color w:val="000000"/>
                <w:sz w:val="20"/>
                <w:szCs w:val="20"/>
              </w:rPr>
            </w:pPr>
            <w:r w:rsidRPr="00020D9D">
              <w:rPr>
                <w:rFonts w:ascii="Arial" w:hAnsi="Arial" w:cs="Arial"/>
                <w:color w:val="000000"/>
                <w:sz w:val="20"/>
                <w:szCs w:val="20"/>
              </w:rPr>
              <w:t>Sendo que cada família possui, em média, 4 (quatro) pessoas, ou seja, 140 (cento e quarenta) pessoas a serem abastecidas, num consumo (C) de 25.200 l/dia ou 25,200 m3/dia.</w:t>
            </w:r>
          </w:p>
          <w:p w14:paraId="4946BC9B" w14:textId="77777777" w:rsidR="00020D9D" w:rsidRPr="00020D9D" w:rsidRDefault="00020D9D" w:rsidP="00020D9D">
            <w:pPr>
              <w:autoSpaceDE w:val="0"/>
              <w:autoSpaceDN w:val="0"/>
              <w:adjustRightInd w:val="0"/>
              <w:spacing w:before="2"/>
              <w:ind w:firstLine="14"/>
              <w:jc w:val="both"/>
              <w:rPr>
                <w:rFonts w:ascii="Arial" w:hAnsi="Arial" w:cs="Arial"/>
                <w:color w:val="000000"/>
                <w:sz w:val="20"/>
                <w:szCs w:val="20"/>
              </w:rPr>
            </w:pPr>
            <w:r w:rsidRPr="00020D9D">
              <w:rPr>
                <w:rFonts w:ascii="Arial" w:hAnsi="Arial" w:cs="Arial"/>
                <w:color w:val="000000"/>
                <w:sz w:val="20"/>
                <w:szCs w:val="20"/>
              </w:rPr>
              <w:t>K1 = 1,2 (Coeficiente de máxima vazão diária)</w:t>
            </w:r>
          </w:p>
          <w:p w14:paraId="39BE6FCF" w14:textId="77777777" w:rsidR="00020D9D" w:rsidRPr="00020D9D" w:rsidRDefault="00020D9D" w:rsidP="00020D9D">
            <w:pPr>
              <w:autoSpaceDE w:val="0"/>
              <w:autoSpaceDN w:val="0"/>
              <w:adjustRightInd w:val="0"/>
              <w:spacing w:before="2"/>
              <w:ind w:firstLine="14"/>
              <w:jc w:val="both"/>
              <w:rPr>
                <w:rFonts w:ascii="Arial" w:hAnsi="Arial" w:cs="Arial"/>
                <w:color w:val="000000"/>
                <w:sz w:val="20"/>
                <w:szCs w:val="20"/>
              </w:rPr>
            </w:pPr>
            <w:r w:rsidRPr="00020D9D">
              <w:rPr>
                <w:rFonts w:ascii="Arial" w:hAnsi="Arial" w:cs="Arial"/>
                <w:color w:val="000000"/>
                <w:sz w:val="20"/>
                <w:szCs w:val="20"/>
              </w:rPr>
              <w:t>Vazão (Q) = 30,24 m3/dia ou 30.240 l/dia</w:t>
            </w:r>
          </w:p>
          <w:p w14:paraId="58934A69" w14:textId="59D42872" w:rsidR="000244A8" w:rsidRPr="00020D9D" w:rsidRDefault="00020D9D" w:rsidP="00020D9D">
            <w:pPr>
              <w:pStyle w:val="Default"/>
              <w:spacing w:before="2"/>
              <w:ind w:firstLine="14"/>
              <w:jc w:val="both"/>
              <w:rPr>
                <w:sz w:val="23"/>
                <w:szCs w:val="23"/>
              </w:rPr>
            </w:pPr>
            <w:r w:rsidRPr="00020D9D">
              <w:rPr>
                <w:rFonts w:ascii="Arial" w:hAnsi="Arial" w:cs="Arial"/>
                <w:sz w:val="20"/>
                <w:szCs w:val="20"/>
              </w:rPr>
              <w:t>O parâmetro vazão da bomba é a base para a determinação do diâmetro nominal da tubulação edutora, o tipo comercial de bomba e consequentemente o diâmetro do poço tubular profundo.</w:t>
            </w:r>
          </w:p>
        </w:tc>
      </w:tr>
    </w:tbl>
    <w:p w14:paraId="40288639" w14:textId="77777777" w:rsidR="00A02C8B" w:rsidRPr="00762022" w:rsidRDefault="000244A8" w:rsidP="000244A8">
      <w:pPr>
        <w:spacing w:after="0" w:line="276" w:lineRule="auto"/>
        <w:jc w:val="both"/>
        <w:rPr>
          <w:rFonts w:ascii="Arial" w:eastAsia="Times New Roman" w:hAnsi="Arial" w:cs="Arial"/>
          <w:i/>
          <w:sz w:val="20"/>
          <w:szCs w:val="20"/>
          <w:lang w:eastAsia="pt-BR"/>
        </w:rPr>
      </w:pPr>
      <w:r w:rsidRPr="00762022">
        <w:rPr>
          <w:rFonts w:ascii="Arial" w:eastAsia="Times New Roman" w:hAnsi="Arial" w:cs="Arial"/>
          <w:i/>
          <w:sz w:val="20"/>
          <w:szCs w:val="20"/>
          <w:lang w:eastAsia="pt-BR"/>
        </w:rPr>
        <w:t xml:space="preserve"> </w:t>
      </w:r>
    </w:p>
    <w:tbl>
      <w:tblPr>
        <w:tblStyle w:val="Tabelacomgrade"/>
        <w:tblW w:w="9918" w:type="dxa"/>
        <w:tblLook w:val="04A0" w:firstRow="1" w:lastRow="0" w:firstColumn="1" w:lastColumn="0" w:noHBand="0" w:noVBand="1"/>
      </w:tblPr>
      <w:tblGrid>
        <w:gridCol w:w="9918"/>
      </w:tblGrid>
      <w:tr w:rsidR="00A02C8B" w:rsidRPr="00762022" w14:paraId="2237A3EC" w14:textId="77777777" w:rsidTr="00032506">
        <w:tc>
          <w:tcPr>
            <w:tcW w:w="9918" w:type="dxa"/>
          </w:tcPr>
          <w:p w14:paraId="63CBF30A" w14:textId="377B636D" w:rsidR="00A02C8B" w:rsidRPr="00762022" w:rsidRDefault="00A02C8B" w:rsidP="00A02C8B">
            <w:pPr>
              <w:shd w:val="clear" w:color="auto" w:fill="FFFFFF"/>
              <w:spacing w:line="276" w:lineRule="auto"/>
              <w:jc w:val="both"/>
              <w:textAlignment w:val="baseline"/>
              <w:rPr>
                <w:rFonts w:ascii="Arial" w:eastAsia="Times New Roman" w:hAnsi="Arial" w:cs="Arial"/>
                <w:b/>
                <w:bCs/>
                <w:color w:val="000000"/>
                <w:sz w:val="20"/>
                <w:szCs w:val="20"/>
                <w:lang w:eastAsia="pt-BR"/>
              </w:rPr>
            </w:pPr>
            <w:r w:rsidRPr="00762022">
              <w:rPr>
                <w:rFonts w:ascii="Arial" w:eastAsia="Times New Roman" w:hAnsi="Arial" w:cs="Arial"/>
                <w:b/>
                <w:bCs/>
                <w:color w:val="000000"/>
                <w:sz w:val="20"/>
                <w:szCs w:val="20"/>
                <w:lang w:eastAsia="pt-BR"/>
              </w:rPr>
              <w:t>10 – PROVIDÊNCIAS PRÉVIAS AO CONTRATO</w:t>
            </w:r>
          </w:p>
        </w:tc>
      </w:tr>
      <w:tr w:rsidR="00A02C8B" w:rsidRPr="00762022" w14:paraId="2CE8E7DA" w14:textId="77777777" w:rsidTr="005B2418">
        <w:tc>
          <w:tcPr>
            <w:tcW w:w="9918" w:type="dxa"/>
            <w:shd w:val="clear" w:color="auto" w:fill="F2F2F2" w:themeFill="background1" w:themeFillShade="F2"/>
          </w:tcPr>
          <w:p w14:paraId="4B984DAE" w14:textId="0D6D4C97" w:rsidR="00A02C8B" w:rsidRPr="005B2418" w:rsidRDefault="00A02C8B" w:rsidP="000244A8">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eastAsia="Times New Roman" w:hAnsi="Arial" w:cs="Arial"/>
                <w:color w:val="000000"/>
                <w:sz w:val="20"/>
                <w:szCs w:val="20"/>
                <w:lang w:eastAsia="pt-BR"/>
              </w:rPr>
              <w:t xml:space="preserve">Providências a serem adotadas pela administração previamente à celebração do contrato, inclusive quanto à capacitação de servidores ou de empregados para fiscalização e gestão contratual (inciso X do § 1° do art. 18 da Lei 14.133/21); </w:t>
            </w:r>
          </w:p>
        </w:tc>
      </w:tr>
      <w:tr w:rsidR="00A02C8B" w:rsidRPr="00762022" w14:paraId="45D5B375" w14:textId="77777777" w:rsidTr="00032506">
        <w:tc>
          <w:tcPr>
            <w:tcW w:w="9918" w:type="dxa"/>
          </w:tcPr>
          <w:p w14:paraId="7E134F4A" w14:textId="130552B1" w:rsidR="00A02C8B" w:rsidRPr="00762022" w:rsidRDefault="00821A34" w:rsidP="00347850">
            <w:pPr>
              <w:spacing w:line="276" w:lineRule="auto"/>
              <w:jc w:val="both"/>
              <w:rPr>
                <w:rFonts w:ascii="Arial" w:eastAsia="Times New Roman" w:hAnsi="Arial" w:cs="Arial"/>
                <w:sz w:val="20"/>
                <w:szCs w:val="20"/>
                <w:lang w:eastAsia="pt-BR"/>
              </w:rPr>
            </w:pPr>
            <w:r>
              <w:rPr>
                <w:rFonts w:ascii="Arial" w:eastAsia="Times New Roman" w:hAnsi="Arial" w:cs="Arial"/>
                <w:sz w:val="20"/>
                <w:szCs w:val="20"/>
                <w:lang w:eastAsia="pt-BR"/>
              </w:rPr>
              <w:t>Foram indicados para fiscalização do contrato, colaboradores capacitados tecnicamente do setor de engenharia e secretaria de saúde do município, pasta responsável pela identificação da necessidade de ampliação</w:t>
            </w:r>
            <w:r w:rsidR="008F5A36">
              <w:rPr>
                <w:rFonts w:ascii="Arial" w:eastAsia="Times New Roman" w:hAnsi="Arial" w:cs="Arial"/>
                <w:sz w:val="20"/>
                <w:szCs w:val="20"/>
                <w:lang w:eastAsia="pt-BR"/>
              </w:rPr>
              <w:t>, conforme designação de gestor e fiscais de contrato devidamente preenchida anexa ao processo.</w:t>
            </w:r>
          </w:p>
        </w:tc>
      </w:tr>
      <w:tr w:rsidR="00CD171C" w:rsidRPr="00762022" w14:paraId="5298D99B" w14:textId="77777777" w:rsidTr="00032506">
        <w:tc>
          <w:tcPr>
            <w:tcW w:w="9918" w:type="dxa"/>
          </w:tcPr>
          <w:p w14:paraId="69C8ACC4" w14:textId="1EB70EC9" w:rsidR="00CD171C" w:rsidRPr="00762022" w:rsidRDefault="00CD171C" w:rsidP="00CD171C">
            <w:pPr>
              <w:shd w:val="clear" w:color="auto" w:fill="FFFFFF"/>
              <w:spacing w:line="276" w:lineRule="auto"/>
              <w:jc w:val="both"/>
              <w:textAlignment w:val="baseline"/>
              <w:rPr>
                <w:rFonts w:ascii="Arial" w:eastAsia="Times New Roman" w:hAnsi="Arial" w:cs="Arial"/>
                <w:b/>
                <w:bCs/>
                <w:color w:val="000000"/>
                <w:sz w:val="20"/>
                <w:szCs w:val="20"/>
                <w:lang w:eastAsia="pt-BR"/>
              </w:rPr>
            </w:pPr>
            <w:r w:rsidRPr="00762022">
              <w:rPr>
                <w:rFonts w:ascii="Arial" w:eastAsia="Times New Roman" w:hAnsi="Arial" w:cs="Arial"/>
                <w:b/>
                <w:bCs/>
                <w:color w:val="000000"/>
                <w:sz w:val="20"/>
                <w:szCs w:val="20"/>
                <w:lang w:eastAsia="pt-BR"/>
              </w:rPr>
              <w:lastRenderedPageBreak/>
              <w:t>11 – CONTRATAÇÕES CORRELATAS/INTERDEPENDENTES</w:t>
            </w:r>
          </w:p>
        </w:tc>
      </w:tr>
      <w:tr w:rsidR="00CD171C" w:rsidRPr="00762022" w14:paraId="6DD2AC27" w14:textId="77777777" w:rsidTr="005B2418">
        <w:tc>
          <w:tcPr>
            <w:tcW w:w="9918" w:type="dxa"/>
            <w:shd w:val="clear" w:color="auto" w:fill="F2F2F2" w:themeFill="background1" w:themeFillShade="F2"/>
          </w:tcPr>
          <w:p w14:paraId="4CE0F98E" w14:textId="4688A87F" w:rsidR="00CD171C" w:rsidRPr="005B2418" w:rsidRDefault="00CD171C" w:rsidP="00AD31B3">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eastAsia="Times New Roman" w:hAnsi="Arial" w:cs="Arial"/>
                <w:color w:val="000000"/>
                <w:sz w:val="20"/>
                <w:szCs w:val="20"/>
                <w:lang w:eastAsia="pt-BR"/>
              </w:rPr>
              <w:t>Contratações correlatas e/ou interdependentes (inciso XI do § 1° do art. 18 da Lei 14.133/21);</w:t>
            </w:r>
          </w:p>
        </w:tc>
      </w:tr>
      <w:tr w:rsidR="00CD171C" w:rsidRPr="00762022" w14:paraId="515215BF" w14:textId="77777777" w:rsidTr="00032506">
        <w:tc>
          <w:tcPr>
            <w:tcW w:w="9918" w:type="dxa"/>
          </w:tcPr>
          <w:p w14:paraId="46233FC4" w14:textId="0D11E66D" w:rsidR="00CD171C" w:rsidRPr="00762022" w:rsidRDefault="005A378D" w:rsidP="00A02DB8">
            <w:pPr>
              <w:spacing w:line="276" w:lineRule="auto"/>
              <w:jc w:val="both"/>
              <w:rPr>
                <w:rFonts w:ascii="Arial" w:eastAsia="Times New Roman" w:hAnsi="Arial" w:cs="Arial"/>
                <w:color w:val="000000"/>
                <w:sz w:val="20"/>
                <w:szCs w:val="20"/>
                <w:lang w:eastAsia="pt-BR"/>
              </w:rPr>
            </w:pPr>
            <w:r>
              <w:rPr>
                <w:rFonts w:ascii="Arial" w:eastAsia="Times New Roman" w:hAnsi="Arial" w:cs="Arial"/>
                <w:color w:val="000000"/>
                <w:sz w:val="20"/>
                <w:szCs w:val="20"/>
                <w:lang w:eastAsia="pt-BR"/>
              </w:rPr>
              <w:t xml:space="preserve">Por se tratar de obra de engenharia, visando um </w:t>
            </w:r>
            <w:r w:rsidR="000C7796">
              <w:rPr>
                <w:rFonts w:ascii="Arial" w:eastAsia="Times New Roman" w:hAnsi="Arial" w:cs="Arial"/>
                <w:color w:val="000000"/>
                <w:sz w:val="20"/>
                <w:szCs w:val="20"/>
                <w:lang w:eastAsia="pt-BR"/>
              </w:rPr>
              <w:t xml:space="preserve">objeto </w:t>
            </w:r>
            <w:r>
              <w:rPr>
                <w:rFonts w:ascii="Arial" w:eastAsia="Times New Roman" w:hAnsi="Arial" w:cs="Arial"/>
                <w:color w:val="000000"/>
                <w:sz w:val="20"/>
                <w:szCs w:val="20"/>
                <w:lang w:eastAsia="pt-BR"/>
              </w:rPr>
              <w:t xml:space="preserve">único final, </w:t>
            </w:r>
            <w:r w:rsidR="005C63DD">
              <w:rPr>
                <w:rFonts w:ascii="Arial" w:eastAsia="Times New Roman" w:hAnsi="Arial" w:cs="Arial"/>
                <w:color w:val="000000"/>
                <w:sz w:val="20"/>
                <w:szCs w:val="20"/>
                <w:lang w:eastAsia="pt-BR"/>
              </w:rPr>
              <w:t>onde os itens dependem um do outro para a plena execução do objeto, os mesmos devem ser</w:t>
            </w:r>
            <w:r>
              <w:rPr>
                <w:rFonts w:ascii="Arial" w:eastAsia="Times New Roman" w:hAnsi="Arial" w:cs="Arial"/>
                <w:color w:val="000000"/>
                <w:sz w:val="20"/>
                <w:szCs w:val="20"/>
                <w:lang w:eastAsia="pt-BR"/>
              </w:rPr>
              <w:t xml:space="preserve"> contratados </w:t>
            </w:r>
            <w:r w:rsidR="000C7796">
              <w:rPr>
                <w:rFonts w:ascii="Arial" w:eastAsia="Times New Roman" w:hAnsi="Arial" w:cs="Arial"/>
                <w:color w:val="000000"/>
                <w:sz w:val="20"/>
                <w:szCs w:val="20"/>
                <w:lang w:eastAsia="pt-BR"/>
              </w:rPr>
              <w:t xml:space="preserve">conjuntamente </w:t>
            </w:r>
            <w:r>
              <w:rPr>
                <w:rFonts w:ascii="Arial" w:eastAsia="Times New Roman" w:hAnsi="Arial" w:cs="Arial"/>
                <w:color w:val="000000"/>
                <w:sz w:val="20"/>
                <w:szCs w:val="20"/>
                <w:lang w:eastAsia="pt-BR"/>
              </w:rPr>
              <w:t>por empreitada global.</w:t>
            </w:r>
          </w:p>
        </w:tc>
      </w:tr>
    </w:tbl>
    <w:p w14:paraId="3B9019DF" w14:textId="26F8D357" w:rsidR="00DC593C" w:rsidRPr="00762022" w:rsidRDefault="00DC593C" w:rsidP="00AD31B3">
      <w:pPr>
        <w:spacing w:after="0" w:line="276" w:lineRule="auto"/>
        <w:jc w:val="both"/>
        <w:rPr>
          <w:rFonts w:ascii="Arial" w:eastAsia="Times New Roman" w:hAnsi="Arial" w:cs="Arial"/>
          <w:color w:val="000000"/>
          <w:sz w:val="20"/>
          <w:szCs w:val="20"/>
          <w:lang w:eastAsia="pt-BR"/>
        </w:rPr>
      </w:pPr>
    </w:p>
    <w:tbl>
      <w:tblPr>
        <w:tblStyle w:val="Tabelacomgrade"/>
        <w:tblW w:w="9918" w:type="dxa"/>
        <w:tblLook w:val="04A0" w:firstRow="1" w:lastRow="0" w:firstColumn="1" w:lastColumn="0" w:noHBand="0" w:noVBand="1"/>
      </w:tblPr>
      <w:tblGrid>
        <w:gridCol w:w="9918"/>
      </w:tblGrid>
      <w:tr w:rsidR="00CD171C" w:rsidRPr="00762022" w14:paraId="53C15D3F" w14:textId="77777777" w:rsidTr="00032506">
        <w:tc>
          <w:tcPr>
            <w:tcW w:w="9918" w:type="dxa"/>
          </w:tcPr>
          <w:p w14:paraId="5FB23C54" w14:textId="52CBBF1D" w:rsidR="00CD171C" w:rsidRPr="00762022" w:rsidRDefault="00CD171C" w:rsidP="00AD31B3">
            <w:pPr>
              <w:spacing w:line="276" w:lineRule="auto"/>
              <w:jc w:val="both"/>
              <w:rPr>
                <w:rFonts w:ascii="Arial" w:eastAsia="Times New Roman" w:hAnsi="Arial" w:cs="Arial"/>
                <w:b/>
                <w:color w:val="000000"/>
                <w:sz w:val="20"/>
                <w:szCs w:val="20"/>
                <w:lang w:eastAsia="pt-BR"/>
              </w:rPr>
            </w:pPr>
            <w:r w:rsidRPr="00762022">
              <w:rPr>
                <w:rFonts w:ascii="Arial" w:eastAsia="Times New Roman" w:hAnsi="Arial" w:cs="Arial"/>
                <w:b/>
                <w:bCs/>
                <w:color w:val="000000"/>
                <w:sz w:val="20"/>
                <w:szCs w:val="20"/>
                <w:lang w:eastAsia="pt-BR"/>
              </w:rPr>
              <w:t>12 – IMPACTOS AMBIENTAIS</w:t>
            </w:r>
          </w:p>
        </w:tc>
      </w:tr>
      <w:tr w:rsidR="00CD171C" w:rsidRPr="00762022" w14:paraId="2BC0B553" w14:textId="77777777" w:rsidTr="005B2418">
        <w:tc>
          <w:tcPr>
            <w:tcW w:w="9918" w:type="dxa"/>
            <w:shd w:val="clear" w:color="auto" w:fill="F2F2F2" w:themeFill="background1" w:themeFillShade="F2"/>
          </w:tcPr>
          <w:p w14:paraId="3C2327F5" w14:textId="575AAFBA" w:rsidR="00CD171C" w:rsidRPr="005B2418" w:rsidRDefault="00CD171C" w:rsidP="00AD31B3">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hAnsi="Arial" w:cs="Arial"/>
                <w:sz w:val="20"/>
                <w:szCs w:val="20"/>
              </w:rPr>
              <w:t>Descrição de possíveis impactos ambientais e respectivas medidas mitigadoras, incluídos requisitos de baixo consumo de energia e de outros recursos, bem como logística reversa para desfazimento e reciclagem de bens e refugos, quando aplicável (</w:t>
            </w:r>
            <w:r w:rsidRPr="005B2418">
              <w:rPr>
                <w:rFonts w:ascii="Arial" w:eastAsia="Times New Roman" w:hAnsi="Arial" w:cs="Arial"/>
                <w:color w:val="000000"/>
                <w:sz w:val="20"/>
                <w:szCs w:val="20"/>
                <w:lang w:eastAsia="pt-BR"/>
              </w:rPr>
              <w:t>inciso XII do § 1° do art. 18 da Lei 14.133/21);</w:t>
            </w:r>
          </w:p>
        </w:tc>
      </w:tr>
      <w:tr w:rsidR="00CD171C" w:rsidRPr="00762022" w14:paraId="5F1084FA" w14:textId="77777777" w:rsidTr="00032506">
        <w:tc>
          <w:tcPr>
            <w:tcW w:w="9918" w:type="dxa"/>
          </w:tcPr>
          <w:p w14:paraId="1AF90A65" w14:textId="78AC8D29" w:rsidR="00CD171C" w:rsidRPr="00762022" w:rsidRDefault="000C7796" w:rsidP="00AD31B3">
            <w:pPr>
              <w:spacing w:line="276" w:lineRule="auto"/>
              <w:jc w:val="both"/>
              <w:rPr>
                <w:rFonts w:ascii="Arial" w:eastAsia="Times New Roman" w:hAnsi="Arial" w:cs="Arial"/>
                <w:sz w:val="20"/>
                <w:szCs w:val="20"/>
                <w:lang w:eastAsia="pt-BR"/>
              </w:rPr>
            </w:pPr>
            <w:r>
              <w:rPr>
                <w:rFonts w:ascii="Arial" w:eastAsia="Times New Roman" w:hAnsi="Arial" w:cs="Arial"/>
                <w:sz w:val="20"/>
                <w:szCs w:val="20"/>
                <w:lang w:eastAsia="pt-BR"/>
              </w:rPr>
              <w:t xml:space="preserve">A empresa contratada deverá </w:t>
            </w:r>
            <w:r w:rsidR="005C63DD">
              <w:rPr>
                <w:rFonts w:ascii="Arial" w:eastAsia="Times New Roman" w:hAnsi="Arial" w:cs="Arial"/>
                <w:sz w:val="20"/>
                <w:szCs w:val="20"/>
                <w:lang w:eastAsia="pt-BR"/>
              </w:rPr>
              <w:t>providenciar</w:t>
            </w:r>
            <w:r>
              <w:rPr>
                <w:rFonts w:ascii="Arial" w:eastAsia="Times New Roman" w:hAnsi="Arial" w:cs="Arial"/>
                <w:sz w:val="20"/>
                <w:szCs w:val="20"/>
                <w:lang w:eastAsia="pt-BR"/>
              </w:rPr>
              <w:t xml:space="preserve"> o licenciamento ambiental junto a outorga do poço</w:t>
            </w:r>
            <w:r w:rsidR="005C63DD">
              <w:rPr>
                <w:rFonts w:ascii="Arial" w:eastAsia="Times New Roman" w:hAnsi="Arial" w:cs="Arial"/>
                <w:sz w:val="20"/>
                <w:szCs w:val="20"/>
                <w:lang w:eastAsia="pt-BR"/>
              </w:rPr>
              <w:t>.</w:t>
            </w:r>
          </w:p>
        </w:tc>
      </w:tr>
    </w:tbl>
    <w:p w14:paraId="62FC2CD1" w14:textId="0BE40B0D" w:rsidR="001F5ADB" w:rsidRPr="00762022" w:rsidRDefault="001F5ADB" w:rsidP="00250E5C">
      <w:pPr>
        <w:spacing w:after="0" w:line="276" w:lineRule="auto"/>
        <w:jc w:val="both"/>
        <w:rPr>
          <w:rFonts w:ascii="Arial" w:eastAsia="Times New Roman" w:hAnsi="Arial" w:cs="Arial"/>
          <w:color w:val="000000"/>
          <w:sz w:val="20"/>
          <w:szCs w:val="20"/>
          <w:lang w:eastAsia="pt-BR"/>
        </w:rPr>
      </w:pPr>
    </w:p>
    <w:tbl>
      <w:tblPr>
        <w:tblStyle w:val="Tabelacomgrade"/>
        <w:tblW w:w="9918" w:type="dxa"/>
        <w:tblLook w:val="04A0" w:firstRow="1" w:lastRow="0" w:firstColumn="1" w:lastColumn="0" w:noHBand="0" w:noVBand="1"/>
      </w:tblPr>
      <w:tblGrid>
        <w:gridCol w:w="9918"/>
      </w:tblGrid>
      <w:tr w:rsidR="00CD171C" w:rsidRPr="00762022" w14:paraId="4E6582C8" w14:textId="77777777" w:rsidTr="00032506">
        <w:tc>
          <w:tcPr>
            <w:tcW w:w="9918" w:type="dxa"/>
          </w:tcPr>
          <w:p w14:paraId="372CD7F4" w14:textId="00CCA1D5" w:rsidR="00CD171C" w:rsidRPr="00762022" w:rsidRDefault="00CD171C" w:rsidP="00AD31B3">
            <w:pPr>
              <w:spacing w:line="276" w:lineRule="auto"/>
              <w:jc w:val="both"/>
              <w:rPr>
                <w:rFonts w:ascii="Arial" w:hAnsi="Arial" w:cs="Arial"/>
                <w:b/>
                <w:sz w:val="20"/>
                <w:szCs w:val="20"/>
              </w:rPr>
            </w:pPr>
            <w:r w:rsidRPr="00762022">
              <w:rPr>
                <w:rFonts w:ascii="Arial" w:eastAsia="Times New Roman" w:hAnsi="Arial" w:cs="Arial"/>
                <w:b/>
                <w:bCs/>
                <w:color w:val="000000"/>
                <w:sz w:val="20"/>
                <w:szCs w:val="20"/>
                <w:lang w:eastAsia="pt-BR"/>
              </w:rPr>
              <w:t>13 – VIABILIDADE DA CONTRATAÇÃO</w:t>
            </w:r>
          </w:p>
        </w:tc>
      </w:tr>
      <w:tr w:rsidR="00CD171C" w:rsidRPr="00762022" w14:paraId="52F44562" w14:textId="77777777" w:rsidTr="005B2418">
        <w:tc>
          <w:tcPr>
            <w:tcW w:w="9918" w:type="dxa"/>
            <w:shd w:val="clear" w:color="auto" w:fill="F2F2F2" w:themeFill="background1" w:themeFillShade="F2"/>
          </w:tcPr>
          <w:p w14:paraId="27571603" w14:textId="5611DFD4" w:rsidR="00CD171C" w:rsidRPr="005B2418" w:rsidRDefault="00CD171C" w:rsidP="00AD31B3">
            <w:pPr>
              <w:spacing w:line="276" w:lineRule="auto"/>
              <w:jc w:val="both"/>
              <w:rPr>
                <w:rFonts w:ascii="Arial" w:eastAsia="Times New Roman" w:hAnsi="Arial" w:cs="Arial"/>
                <w:color w:val="000000"/>
                <w:sz w:val="20"/>
                <w:szCs w:val="20"/>
                <w:lang w:eastAsia="pt-BR"/>
              </w:rPr>
            </w:pPr>
            <w:r w:rsidRPr="005B2418">
              <w:rPr>
                <w:rFonts w:ascii="Arial" w:eastAsia="Times New Roman" w:hAnsi="Arial" w:cs="Arial"/>
                <w:bCs/>
                <w:color w:val="000000"/>
                <w:sz w:val="20"/>
                <w:szCs w:val="20"/>
                <w:lang w:eastAsia="pt-BR"/>
              </w:rPr>
              <w:t xml:space="preserve">Fundamentação: </w:t>
            </w:r>
            <w:r w:rsidRPr="005B2418">
              <w:rPr>
                <w:rFonts w:ascii="Arial" w:hAnsi="Arial" w:cs="Arial"/>
                <w:sz w:val="20"/>
                <w:szCs w:val="20"/>
              </w:rPr>
              <w:t>Posicionamento conclusivo sobre a adequação da contratação para o atendimento da necessidade a que se destina</w:t>
            </w:r>
            <w:r w:rsidRPr="005B2418">
              <w:rPr>
                <w:rFonts w:ascii="Arial" w:eastAsia="Times New Roman" w:hAnsi="Arial" w:cs="Arial"/>
                <w:color w:val="000000"/>
                <w:sz w:val="20"/>
                <w:szCs w:val="20"/>
                <w:lang w:eastAsia="pt-BR"/>
              </w:rPr>
              <w:t xml:space="preserve"> (inciso XIII do § 1° do art. 18 da Lei 14.133/21); </w:t>
            </w:r>
          </w:p>
        </w:tc>
      </w:tr>
      <w:tr w:rsidR="00CD171C" w:rsidRPr="00762022" w14:paraId="002C7BD6" w14:textId="77777777" w:rsidTr="00032506">
        <w:tc>
          <w:tcPr>
            <w:tcW w:w="9918" w:type="dxa"/>
          </w:tcPr>
          <w:p w14:paraId="0016A7B5" w14:textId="596F7C7E" w:rsidR="00CD171C" w:rsidRPr="00762022" w:rsidRDefault="00020D9D" w:rsidP="006A3172">
            <w:pPr>
              <w:spacing w:line="276" w:lineRule="auto"/>
              <w:jc w:val="both"/>
              <w:rPr>
                <w:rFonts w:ascii="Arial" w:hAnsi="Arial" w:cs="Arial"/>
                <w:sz w:val="20"/>
                <w:szCs w:val="20"/>
              </w:rPr>
            </w:pPr>
            <w:r>
              <w:rPr>
                <w:rFonts w:ascii="Arial" w:hAnsi="Arial" w:cs="Arial"/>
                <w:sz w:val="20"/>
                <w:szCs w:val="20"/>
              </w:rPr>
              <w:t>Por falta de mão de obra específica, em nosso quadro, faz-se necessária a contratação de empresa especializada para a perfuração e instalação do poço da Linha Herval, por empreitada global, tendo como base de orçamento, valores SINAPI.</w:t>
            </w:r>
            <w:r w:rsidR="000C7796">
              <w:rPr>
                <w:rFonts w:ascii="Arial" w:hAnsi="Arial" w:cs="Arial"/>
                <w:sz w:val="20"/>
                <w:szCs w:val="20"/>
              </w:rPr>
              <w:t xml:space="preserve"> Desta forma, opina-se pela viabilidade da contratação.</w:t>
            </w:r>
          </w:p>
        </w:tc>
      </w:tr>
    </w:tbl>
    <w:p w14:paraId="5BDFB692" w14:textId="77777777" w:rsidR="00CD171C" w:rsidRPr="00762022" w:rsidRDefault="00CD171C" w:rsidP="00AD31B3">
      <w:pPr>
        <w:spacing w:after="0" w:line="276" w:lineRule="auto"/>
        <w:jc w:val="both"/>
        <w:rPr>
          <w:rFonts w:ascii="Arial" w:hAnsi="Arial" w:cs="Arial"/>
          <w:sz w:val="20"/>
          <w:szCs w:val="20"/>
        </w:rPr>
      </w:pPr>
    </w:p>
    <w:p w14:paraId="19C46F6F" w14:textId="7B8EA612" w:rsidR="000A5DC1" w:rsidRDefault="000A5DC1" w:rsidP="00983290">
      <w:pPr>
        <w:spacing w:after="0" w:line="276" w:lineRule="auto"/>
        <w:jc w:val="right"/>
        <w:rPr>
          <w:rFonts w:ascii="Arial" w:hAnsi="Arial" w:cs="Arial"/>
          <w:sz w:val="20"/>
          <w:szCs w:val="20"/>
        </w:rPr>
      </w:pPr>
      <w:r w:rsidRPr="00762022">
        <w:rPr>
          <w:rFonts w:ascii="Arial" w:hAnsi="Arial" w:cs="Arial"/>
          <w:sz w:val="20"/>
          <w:szCs w:val="20"/>
        </w:rPr>
        <w:t xml:space="preserve">Imigrante, </w:t>
      </w:r>
      <w:r w:rsidR="00020D9D">
        <w:rPr>
          <w:rFonts w:ascii="Arial" w:hAnsi="Arial" w:cs="Arial"/>
          <w:sz w:val="20"/>
          <w:szCs w:val="20"/>
        </w:rPr>
        <w:t>0</w:t>
      </w:r>
      <w:r w:rsidR="008401B7">
        <w:rPr>
          <w:rFonts w:ascii="Arial" w:hAnsi="Arial" w:cs="Arial"/>
          <w:sz w:val="20"/>
          <w:szCs w:val="20"/>
        </w:rPr>
        <w:t>5</w:t>
      </w:r>
      <w:r w:rsidRPr="00762022">
        <w:rPr>
          <w:rFonts w:ascii="Arial" w:hAnsi="Arial" w:cs="Arial"/>
          <w:sz w:val="20"/>
          <w:szCs w:val="20"/>
        </w:rPr>
        <w:t xml:space="preserve"> de </w:t>
      </w:r>
      <w:r w:rsidR="00020D9D">
        <w:rPr>
          <w:rFonts w:ascii="Arial" w:hAnsi="Arial" w:cs="Arial"/>
          <w:sz w:val="20"/>
          <w:szCs w:val="20"/>
        </w:rPr>
        <w:t>novembro</w:t>
      </w:r>
      <w:r w:rsidRPr="00762022">
        <w:rPr>
          <w:rFonts w:ascii="Arial" w:hAnsi="Arial" w:cs="Arial"/>
          <w:sz w:val="20"/>
          <w:szCs w:val="20"/>
        </w:rPr>
        <w:t xml:space="preserve"> de 202</w:t>
      </w:r>
      <w:r w:rsidR="008401B7">
        <w:rPr>
          <w:rFonts w:ascii="Arial" w:hAnsi="Arial" w:cs="Arial"/>
          <w:sz w:val="20"/>
          <w:szCs w:val="20"/>
        </w:rPr>
        <w:t>4</w:t>
      </w:r>
      <w:r w:rsidRPr="00762022">
        <w:rPr>
          <w:rFonts w:ascii="Arial" w:hAnsi="Arial" w:cs="Arial"/>
          <w:sz w:val="20"/>
          <w:szCs w:val="20"/>
        </w:rPr>
        <w:t>.</w:t>
      </w:r>
    </w:p>
    <w:p w14:paraId="57ADCFE2" w14:textId="420CF907" w:rsidR="00983290" w:rsidRDefault="00983290" w:rsidP="00983290">
      <w:pPr>
        <w:spacing w:after="0" w:line="276" w:lineRule="auto"/>
        <w:jc w:val="right"/>
        <w:rPr>
          <w:rFonts w:ascii="Arial" w:hAnsi="Arial" w:cs="Arial"/>
          <w:sz w:val="20"/>
          <w:szCs w:val="20"/>
        </w:rPr>
      </w:pPr>
    </w:p>
    <w:p w14:paraId="06BA58EA" w14:textId="35F1B48B" w:rsidR="00983290" w:rsidRDefault="00983290" w:rsidP="00983290">
      <w:pPr>
        <w:spacing w:after="0" w:line="276" w:lineRule="auto"/>
        <w:jc w:val="right"/>
        <w:rPr>
          <w:rFonts w:ascii="Arial" w:hAnsi="Arial" w:cs="Arial"/>
          <w:sz w:val="20"/>
          <w:szCs w:val="20"/>
        </w:rPr>
      </w:pPr>
    </w:p>
    <w:p w14:paraId="14A8006E" w14:textId="2A860444" w:rsidR="00983290" w:rsidRDefault="00983290" w:rsidP="00983290">
      <w:pPr>
        <w:spacing w:after="0" w:line="276" w:lineRule="auto"/>
        <w:jc w:val="right"/>
        <w:rPr>
          <w:rFonts w:ascii="Arial" w:hAnsi="Arial" w:cs="Arial"/>
          <w:sz w:val="20"/>
          <w:szCs w:val="20"/>
        </w:rPr>
      </w:pPr>
    </w:p>
    <w:p w14:paraId="725E64C4" w14:textId="77777777" w:rsidR="00020D9D" w:rsidRDefault="00020D9D" w:rsidP="00983290">
      <w:pPr>
        <w:spacing w:after="0" w:line="276" w:lineRule="auto"/>
        <w:jc w:val="right"/>
        <w:rPr>
          <w:rFonts w:ascii="Arial" w:hAnsi="Arial" w:cs="Arial"/>
          <w:sz w:val="20"/>
          <w:szCs w:val="20"/>
        </w:rPr>
      </w:pPr>
    </w:p>
    <w:p w14:paraId="2395F86A" w14:textId="77777777" w:rsidR="005F0534" w:rsidRDefault="005F0534" w:rsidP="00AD31B3">
      <w:pPr>
        <w:spacing w:after="0" w:line="276" w:lineRule="auto"/>
        <w:jc w:val="right"/>
        <w:rPr>
          <w:rFonts w:ascii="Arial" w:hAnsi="Arial" w:cs="Arial"/>
          <w:sz w:val="20"/>
          <w:szCs w:val="20"/>
        </w:rPr>
      </w:pPr>
    </w:p>
    <w:p w14:paraId="6051F31C" w14:textId="3013822F" w:rsidR="005F0534" w:rsidRPr="00E94900" w:rsidRDefault="000C7796" w:rsidP="005F0534">
      <w:pPr>
        <w:spacing w:after="0" w:line="240" w:lineRule="auto"/>
        <w:jc w:val="center"/>
        <w:rPr>
          <w:rFonts w:ascii="Arial" w:hAnsi="Arial" w:cs="Arial"/>
          <w:b/>
          <w:sz w:val="21"/>
          <w:szCs w:val="21"/>
        </w:rPr>
      </w:pPr>
      <w:r>
        <w:rPr>
          <w:rFonts w:ascii="Arial" w:hAnsi="Arial" w:cs="Arial"/>
          <w:b/>
          <w:sz w:val="21"/>
          <w:szCs w:val="21"/>
        </w:rPr>
        <w:t>GILNEI DAHMER</w:t>
      </w:r>
    </w:p>
    <w:p w14:paraId="69A23F45" w14:textId="5A719F14" w:rsidR="005F0534" w:rsidRPr="00E94900" w:rsidRDefault="005F0534" w:rsidP="00497AB5">
      <w:pPr>
        <w:spacing w:after="0" w:line="240" w:lineRule="auto"/>
        <w:jc w:val="center"/>
        <w:rPr>
          <w:rFonts w:ascii="Arial" w:hAnsi="Arial" w:cs="Arial"/>
          <w:sz w:val="21"/>
          <w:szCs w:val="21"/>
        </w:rPr>
      </w:pPr>
      <w:r>
        <w:rPr>
          <w:rFonts w:ascii="Arial" w:hAnsi="Arial" w:cs="Arial"/>
          <w:sz w:val="21"/>
          <w:szCs w:val="21"/>
        </w:rPr>
        <w:t>Secretári</w:t>
      </w:r>
      <w:r w:rsidR="00020D9D">
        <w:rPr>
          <w:rFonts w:ascii="Arial" w:hAnsi="Arial" w:cs="Arial"/>
          <w:sz w:val="21"/>
          <w:szCs w:val="21"/>
        </w:rPr>
        <w:t>o</w:t>
      </w:r>
      <w:r>
        <w:rPr>
          <w:rFonts w:ascii="Arial" w:hAnsi="Arial" w:cs="Arial"/>
          <w:sz w:val="21"/>
          <w:szCs w:val="21"/>
        </w:rPr>
        <w:t xml:space="preserve"> Municipal d</w:t>
      </w:r>
      <w:r w:rsidR="00020D9D">
        <w:rPr>
          <w:rFonts w:ascii="Arial" w:hAnsi="Arial" w:cs="Arial"/>
          <w:sz w:val="21"/>
          <w:szCs w:val="21"/>
        </w:rPr>
        <w:t xml:space="preserve">e </w:t>
      </w:r>
      <w:r w:rsidR="000C7796">
        <w:rPr>
          <w:rFonts w:ascii="Arial" w:hAnsi="Arial" w:cs="Arial"/>
          <w:sz w:val="21"/>
          <w:szCs w:val="21"/>
        </w:rPr>
        <w:t>Agricultura, Meio Ambiente e Desenvolvimento Econômico</w:t>
      </w:r>
    </w:p>
    <w:p w14:paraId="17F0CF97" w14:textId="77777777" w:rsidR="005F0534" w:rsidRPr="00762022" w:rsidRDefault="005F0534" w:rsidP="00AD31B3">
      <w:pPr>
        <w:spacing w:after="0" w:line="276" w:lineRule="auto"/>
        <w:jc w:val="right"/>
        <w:rPr>
          <w:rFonts w:ascii="Arial" w:hAnsi="Arial" w:cs="Arial"/>
          <w:sz w:val="20"/>
          <w:szCs w:val="20"/>
        </w:rPr>
      </w:pPr>
    </w:p>
    <w:sectPr w:rsidR="005F0534" w:rsidRPr="00762022" w:rsidSect="00983290">
      <w:headerReference w:type="default" r:id="rId7"/>
      <w:footerReference w:type="default" r:id="rId8"/>
      <w:pgSz w:w="11906" w:h="16838"/>
      <w:pgMar w:top="3403" w:right="849" w:bottom="1417" w:left="1134" w:header="851"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6FEDC" w14:textId="77777777" w:rsidR="005B1CEE" w:rsidRDefault="005B1CEE" w:rsidP="005B1CEE">
      <w:pPr>
        <w:spacing w:after="0" w:line="240" w:lineRule="auto"/>
      </w:pPr>
      <w:r>
        <w:separator/>
      </w:r>
    </w:p>
  </w:endnote>
  <w:endnote w:type="continuationSeparator" w:id="0">
    <w:p w14:paraId="3FF5CC1C" w14:textId="77777777" w:rsidR="005B1CEE" w:rsidRDefault="005B1CEE" w:rsidP="005B1C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9720396"/>
      <w:docPartObj>
        <w:docPartGallery w:val="Page Numbers (Bottom of Page)"/>
        <w:docPartUnique/>
      </w:docPartObj>
    </w:sdtPr>
    <w:sdtEndPr/>
    <w:sdtContent>
      <w:p w14:paraId="588F1011" w14:textId="77777777" w:rsidR="005B1CEE" w:rsidRDefault="005B1CEE">
        <w:pPr>
          <w:pStyle w:val="Rodap"/>
          <w:jc w:val="right"/>
        </w:pPr>
        <w:r>
          <w:fldChar w:fldCharType="begin"/>
        </w:r>
        <w:r>
          <w:instrText>PAGE   \* MERGEFORMAT</w:instrText>
        </w:r>
        <w:r>
          <w:fldChar w:fldCharType="separate"/>
        </w:r>
        <w:r w:rsidR="00201943">
          <w:rPr>
            <w:noProof/>
          </w:rPr>
          <w:t>1</w:t>
        </w:r>
        <w:r>
          <w:fldChar w:fldCharType="end"/>
        </w:r>
      </w:p>
    </w:sdtContent>
  </w:sdt>
  <w:p w14:paraId="03684215" w14:textId="77777777" w:rsidR="005B1CEE" w:rsidRDefault="005B1CE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DF8F19" w14:textId="77777777" w:rsidR="005B1CEE" w:rsidRDefault="005B1CEE" w:rsidP="005B1CEE">
      <w:pPr>
        <w:spacing w:after="0" w:line="240" w:lineRule="auto"/>
      </w:pPr>
      <w:r>
        <w:separator/>
      </w:r>
    </w:p>
  </w:footnote>
  <w:footnote w:type="continuationSeparator" w:id="0">
    <w:p w14:paraId="3BA5A825" w14:textId="77777777" w:rsidR="005B1CEE" w:rsidRDefault="005B1CEE" w:rsidP="005B1C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A9DB5" w14:textId="77777777" w:rsidR="007F7D92" w:rsidRPr="00AE608C" w:rsidRDefault="007F7D92" w:rsidP="007F7D92">
    <w:pPr>
      <w:pStyle w:val="Cabealho"/>
      <w:spacing w:line="276" w:lineRule="auto"/>
      <w:ind w:left="-567"/>
      <w:jc w:val="center"/>
      <w:rPr>
        <w:rFonts w:ascii="Tahoma" w:hAnsi="Tahoma" w:cs="Tahoma"/>
        <w:b/>
        <w:noProof/>
        <w:sz w:val="28"/>
        <w:szCs w:val="24"/>
        <w:lang w:eastAsia="pt-BR"/>
      </w:rPr>
    </w:pPr>
    <w:r w:rsidRPr="00AE608C">
      <w:rPr>
        <w:rFonts w:ascii="Tahoma" w:hAnsi="Tahoma" w:cs="Tahoma"/>
        <w:b/>
        <w:noProof/>
        <w:sz w:val="28"/>
        <w:szCs w:val="24"/>
        <w:lang w:eastAsia="pt-BR"/>
      </w:rPr>
      <w:drawing>
        <wp:anchor distT="0" distB="0" distL="114300" distR="114300" simplePos="0" relativeHeight="251659264" behindDoc="1" locked="0" layoutInCell="1" allowOverlap="1" wp14:anchorId="1E4802AE" wp14:editId="01B96720">
          <wp:simplePos x="0" y="0"/>
          <wp:positionH relativeFrom="column">
            <wp:posOffset>2404745</wp:posOffset>
          </wp:positionH>
          <wp:positionV relativeFrom="paragraph">
            <wp:posOffset>-74295</wp:posOffset>
          </wp:positionV>
          <wp:extent cx="912495" cy="1009650"/>
          <wp:effectExtent l="0" t="0" r="1905" b="0"/>
          <wp:wrapNone/>
          <wp:docPr id="62" name="Image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912495" cy="1009650"/>
                  </a:xfrm>
                  <a:prstGeom prst="rect">
                    <a:avLst/>
                  </a:prstGeom>
                  <a:noFill/>
                  <a:ln w="9525">
                    <a:noFill/>
                    <a:miter lim="800000"/>
                    <a:headEnd/>
                    <a:tailEnd/>
                  </a:ln>
                </pic:spPr>
              </pic:pic>
            </a:graphicData>
          </a:graphic>
        </wp:anchor>
      </w:drawing>
    </w:r>
  </w:p>
  <w:p w14:paraId="66810357" w14:textId="77777777" w:rsidR="007F7D92" w:rsidRPr="00AE608C" w:rsidRDefault="007F7D92" w:rsidP="007F7D92">
    <w:pPr>
      <w:pStyle w:val="Cabealho"/>
      <w:spacing w:line="276" w:lineRule="auto"/>
      <w:ind w:left="-567"/>
      <w:jc w:val="center"/>
      <w:rPr>
        <w:rFonts w:ascii="Tahoma" w:hAnsi="Tahoma" w:cs="Tahoma"/>
        <w:b/>
        <w:noProof/>
        <w:sz w:val="28"/>
        <w:szCs w:val="24"/>
        <w:lang w:eastAsia="pt-BR"/>
      </w:rPr>
    </w:pPr>
  </w:p>
  <w:p w14:paraId="7E6A1198" w14:textId="77777777" w:rsidR="007F7D92" w:rsidRPr="00AE608C" w:rsidRDefault="007F7D92" w:rsidP="007F7D92">
    <w:pPr>
      <w:pStyle w:val="Cabealho"/>
      <w:spacing w:line="276" w:lineRule="auto"/>
      <w:ind w:left="-567"/>
      <w:jc w:val="center"/>
      <w:rPr>
        <w:rFonts w:ascii="Tahoma" w:hAnsi="Tahoma" w:cs="Tahoma"/>
        <w:b/>
        <w:noProof/>
        <w:sz w:val="28"/>
        <w:szCs w:val="24"/>
        <w:lang w:eastAsia="pt-BR"/>
      </w:rPr>
    </w:pPr>
  </w:p>
  <w:p w14:paraId="4631F120" w14:textId="77777777" w:rsidR="007F7D92" w:rsidRPr="00AE608C" w:rsidRDefault="007F7D92" w:rsidP="007F7D92">
    <w:pPr>
      <w:pStyle w:val="Cabealho"/>
      <w:spacing w:line="276" w:lineRule="auto"/>
      <w:ind w:left="-567"/>
      <w:jc w:val="center"/>
      <w:rPr>
        <w:rFonts w:ascii="Tahoma" w:hAnsi="Tahoma" w:cs="Tahoma"/>
        <w:noProof/>
        <w:sz w:val="26"/>
        <w:szCs w:val="26"/>
        <w:lang w:eastAsia="pt-BR"/>
      </w:rPr>
    </w:pPr>
  </w:p>
  <w:p w14:paraId="04FC2AAD" w14:textId="77777777" w:rsidR="007F7D92" w:rsidRPr="00AE608C" w:rsidRDefault="007F7D92" w:rsidP="007F7D92">
    <w:pPr>
      <w:pStyle w:val="Cabealho"/>
      <w:spacing w:line="276" w:lineRule="auto"/>
      <w:ind w:left="-567"/>
      <w:jc w:val="center"/>
      <w:rPr>
        <w:rFonts w:ascii="Tahoma" w:hAnsi="Tahoma" w:cs="Tahoma"/>
        <w:noProof/>
        <w:sz w:val="26"/>
        <w:szCs w:val="26"/>
        <w:lang w:eastAsia="pt-BR"/>
      </w:rPr>
    </w:pPr>
    <w:r w:rsidRPr="00AE608C">
      <w:rPr>
        <w:rFonts w:ascii="Tahoma" w:hAnsi="Tahoma" w:cs="Tahoma"/>
        <w:noProof/>
        <w:sz w:val="26"/>
        <w:szCs w:val="26"/>
        <w:lang w:eastAsia="pt-BR"/>
      </w:rPr>
      <w:t>ESTADO DO RIO GRANDE DO SUL</w:t>
    </w:r>
  </w:p>
  <w:p w14:paraId="58FDDE5A" w14:textId="77777777" w:rsidR="007F7D92" w:rsidRPr="00AE608C" w:rsidRDefault="007F7D92" w:rsidP="007F7D92">
    <w:pPr>
      <w:pStyle w:val="Cabealho"/>
      <w:spacing w:line="276" w:lineRule="auto"/>
      <w:ind w:left="-567"/>
      <w:jc w:val="center"/>
      <w:rPr>
        <w:rFonts w:ascii="Tahoma" w:hAnsi="Tahoma" w:cs="Tahoma"/>
        <w:b/>
        <w:noProof/>
        <w:sz w:val="28"/>
        <w:szCs w:val="28"/>
        <w:lang w:eastAsia="pt-BR"/>
      </w:rPr>
    </w:pPr>
    <w:r w:rsidRPr="00AE608C">
      <w:rPr>
        <w:rFonts w:ascii="Tahoma" w:hAnsi="Tahoma" w:cs="Tahoma"/>
        <w:b/>
        <w:noProof/>
        <w:sz w:val="28"/>
        <w:szCs w:val="28"/>
        <w:lang w:eastAsia="pt-BR"/>
      </w:rPr>
      <w:t>MUNICÍPIO DE IMIGRANTE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CEE"/>
    <w:rsid w:val="000130F8"/>
    <w:rsid w:val="00017F13"/>
    <w:rsid w:val="00020D9D"/>
    <w:rsid w:val="000244A8"/>
    <w:rsid w:val="00032506"/>
    <w:rsid w:val="000A5DC1"/>
    <w:rsid w:val="000B285A"/>
    <w:rsid w:val="000B39B8"/>
    <w:rsid w:val="000C0560"/>
    <w:rsid w:val="000C7796"/>
    <w:rsid w:val="000C7AB9"/>
    <w:rsid w:val="00144FE4"/>
    <w:rsid w:val="0015619F"/>
    <w:rsid w:val="00161166"/>
    <w:rsid w:val="00173DE4"/>
    <w:rsid w:val="001A7B5F"/>
    <w:rsid w:val="001F4B6C"/>
    <w:rsid w:val="001F5ADB"/>
    <w:rsid w:val="00201943"/>
    <w:rsid w:val="0022321C"/>
    <w:rsid w:val="00236016"/>
    <w:rsid w:val="00250E5C"/>
    <w:rsid w:val="0026540B"/>
    <w:rsid w:val="00275778"/>
    <w:rsid w:val="002E1C9E"/>
    <w:rsid w:val="002F6C7E"/>
    <w:rsid w:val="00347850"/>
    <w:rsid w:val="00397652"/>
    <w:rsid w:val="003A1F7B"/>
    <w:rsid w:val="003B1698"/>
    <w:rsid w:val="003F103F"/>
    <w:rsid w:val="0040580F"/>
    <w:rsid w:val="00497AB5"/>
    <w:rsid w:val="004A4956"/>
    <w:rsid w:val="004B10EA"/>
    <w:rsid w:val="004C0415"/>
    <w:rsid w:val="004C5DA7"/>
    <w:rsid w:val="00506185"/>
    <w:rsid w:val="00511C8B"/>
    <w:rsid w:val="005844F4"/>
    <w:rsid w:val="00584A52"/>
    <w:rsid w:val="0059329D"/>
    <w:rsid w:val="005945D8"/>
    <w:rsid w:val="005A378D"/>
    <w:rsid w:val="005A4E0F"/>
    <w:rsid w:val="005B1CEE"/>
    <w:rsid w:val="005B2418"/>
    <w:rsid w:val="005C63DD"/>
    <w:rsid w:val="005E6576"/>
    <w:rsid w:val="005F0534"/>
    <w:rsid w:val="006033C5"/>
    <w:rsid w:val="0060393E"/>
    <w:rsid w:val="006330F0"/>
    <w:rsid w:val="006503EB"/>
    <w:rsid w:val="00656FF0"/>
    <w:rsid w:val="00685DC7"/>
    <w:rsid w:val="006A3172"/>
    <w:rsid w:val="006A6565"/>
    <w:rsid w:val="006D4D7A"/>
    <w:rsid w:val="00705630"/>
    <w:rsid w:val="0075763D"/>
    <w:rsid w:val="00762022"/>
    <w:rsid w:val="007762F5"/>
    <w:rsid w:val="00784FCF"/>
    <w:rsid w:val="00794D19"/>
    <w:rsid w:val="00794EEC"/>
    <w:rsid w:val="007B268B"/>
    <w:rsid w:val="007E333B"/>
    <w:rsid w:val="007E5A4E"/>
    <w:rsid w:val="007E6D04"/>
    <w:rsid w:val="007F2563"/>
    <w:rsid w:val="007F3CC7"/>
    <w:rsid w:val="007F7D92"/>
    <w:rsid w:val="00817295"/>
    <w:rsid w:val="00821A34"/>
    <w:rsid w:val="008401B7"/>
    <w:rsid w:val="00883606"/>
    <w:rsid w:val="008B181D"/>
    <w:rsid w:val="008D2000"/>
    <w:rsid w:val="008E22BE"/>
    <w:rsid w:val="008E4A80"/>
    <w:rsid w:val="008E7EC3"/>
    <w:rsid w:val="008F5A36"/>
    <w:rsid w:val="008F7F31"/>
    <w:rsid w:val="00974826"/>
    <w:rsid w:val="00983290"/>
    <w:rsid w:val="009A7460"/>
    <w:rsid w:val="009D4A71"/>
    <w:rsid w:val="009E61A9"/>
    <w:rsid w:val="00A02C8B"/>
    <w:rsid w:val="00A02DB8"/>
    <w:rsid w:val="00A12056"/>
    <w:rsid w:val="00A21FAC"/>
    <w:rsid w:val="00A929F5"/>
    <w:rsid w:val="00AC750B"/>
    <w:rsid w:val="00AD31B3"/>
    <w:rsid w:val="00B21210"/>
    <w:rsid w:val="00B65FBD"/>
    <w:rsid w:val="00B708BB"/>
    <w:rsid w:val="00B86EDA"/>
    <w:rsid w:val="00B92449"/>
    <w:rsid w:val="00BB1FBE"/>
    <w:rsid w:val="00BE0541"/>
    <w:rsid w:val="00C131EE"/>
    <w:rsid w:val="00C62D1C"/>
    <w:rsid w:val="00C85769"/>
    <w:rsid w:val="00C9653C"/>
    <w:rsid w:val="00CD171C"/>
    <w:rsid w:val="00CD79FC"/>
    <w:rsid w:val="00CF14C2"/>
    <w:rsid w:val="00D305CE"/>
    <w:rsid w:val="00D45D6A"/>
    <w:rsid w:val="00D90452"/>
    <w:rsid w:val="00DC276F"/>
    <w:rsid w:val="00DC593C"/>
    <w:rsid w:val="00DC7953"/>
    <w:rsid w:val="00E252FA"/>
    <w:rsid w:val="00E33531"/>
    <w:rsid w:val="00E61491"/>
    <w:rsid w:val="00E621DB"/>
    <w:rsid w:val="00E702DF"/>
    <w:rsid w:val="00E9095B"/>
    <w:rsid w:val="00EB2F24"/>
    <w:rsid w:val="00EC17AE"/>
    <w:rsid w:val="00EF416E"/>
    <w:rsid w:val="00F05BA1"/>
    <w:rsid w:val="00F05F7A"/>
    <w:rsid w:val="00F23D97"/>
    <w:rsid w:val="00F64EC1"/>
    <w:rsid w:val="00F83451"/>
    <w:rsid w:val="00F96013"/>
    <w:rsid w:val="00FA4CA1"/>
    <w:rsid w:val="00FB27BB"/>
    <w:rsid w:val="00FB294C"/>
    <w:rsid w:val="00FB59B7"/>
    <w:rsid w:val="00FB743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CB7660"/>
  <w15:chartTrackingRefBased/>
  <w15:docId w15:val="{B2B37F47-849B-4187-9106-D218AAFF45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5B1CEE"/>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5B1CEE"/>
  </w:style>
  <w:style w:type="paragraph" w:styleId="Rodap">
    <w:name w:val="footer"/>
    <w:basedOn w:val="Normal"/>
    <w:link w:val="RodapChar"/>
    <w:uiPriority w:val="99"/>
    <w:unhideWhenUsed/>
    <w:rsid w:val="005B1CEE"/>
    <w:pPr>
      <w:tabs>
        <w:tab w:val="center" w:pos="4252"/>
        <w:tab w:val="right" w:pos="8504"/>
      </w:tabs>
      <w:spacing w:after="0" w:line="240" w:lineRule="auto"/>
    </w:pPr>
  </w:style>
  <w:style w:type="character" w:customStyle="1" w:styleId="RodapChar">
    <w:name w:val="Rodapé Char"/>
    <w:basedOn w:val="Fontepargpadro"/>
    <w:link w:val="Rodap"/>
    <w:uiPriority w:val="99"/>
    <w:rsid w:val="005B1CEE"/>
  </w:style>
  <w:style w:type="paragraph" w:customStyle="1" w:styleId="Default">
    <w:name w:val="Default"/>
    <w:rsid w:val="00E621DB"/>
    <w:pPr>
      <w:autoSpaceDE w:val="0"/>
      <w:autoSpaceDN w:val="0"/>
      <w:adjustRightInd w:val="0"/>
      <w:spacing w:after="0" w:line="240" w:lineRule="auto"/>
    </w:pPr>
    <w:rPr>
      <w:rFonts w:ascii="Times New Roman" w:hAnsi="Times New Roman" w:cs="Times New Roman"/>
      <w:color w:val="000000"/>
      <w:sz w:val="24"/>
      <w:szCs w:val="24"/>
    </w:rPr>
  </w:style>
  <w:style w:type="table" w:styleId="Tabelacomgrade">
    <w:name w:val="Table Grid"/>
    <w:basedOn w:val="Tabelanormal"/>
    <w:uiPriority w:val="39"/>
    <w:rsid w:val="00E25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link w:val="TextodebaloChar"/>
    <w:uiPriority w:val="99"/>
    <w:semiHidden/>
    <w:unhideWhenUsed/>
    <w:rsid w:val="0003250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325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382</TotalTime>
  <Pages>3</Pages>
  <Words>1169</Words>
  <Characters>6318</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Usuário do Windows</dc:creator>
  <cp:keywords/>
  <dc:description/>
  <cp:lastModifiedBy>Rodrigo Ritter</cp:lastModifiedBy>
  <cp:revision>27</cp:revision>
  <cp:lastPrinted>2023-03-16T11:02:00Z</cp:lastPrinted>
  <dcterms:created xsi:type="dcterms:W3CDTF">2023-02-27T17:29:00Z</dcterms:created>
  <dcterms:modified xsi:type="dcterms:W3CDTF">2024-11-22T19:06:00Z</dcterms:modified>
</cp:coreProperties>
</file>